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F8" w:rsidRPr="00294859" w:rsidRDefault="00294859">
      <w:pPr>
        <w:rPr>
          <w:b/>
        </w:rPr>
      </w:pPr>
      <w:r w:rsidRPr="00294859">
        <w:rPr>
          <w:b/>
        </w:rPr>
        <w:t>Pre-amble</w:t>
      </w:r>
    </w:p>
    <w:p w:rsidR="00294859" w:rsidRDefault="00294859">
      <w:r>
        <w:t>The below procedure aims to detail Football Wagga Wagga’s process in dealing with disciplinary or grievance matters.</w:t>
      </w:r>
    </w:p>
    <w:p w:rsidR="00294859" w:rsidRDefault="00294859">
      <w:r>
        <w:t>The procedure is based on the Grievance and Disciplinary Regulations. In the event of any inconsistency between these Regulations and this procedure, the Regulations will prevail.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191C0A" w:rsidRPr="00191C0A" w:rsidTr="00294859">
        <w:tc>
          <w:tcPr>
            <w:tcW w:w="1555" w:type="dxa"/>
            <w:shd w:val="clear" w:color="auto" w:fill="auto"/>
            <w:vAlign w:val="center"/>
          </w:tcPr>
          <w:p w:rsidR="00597EF8" w:rsidRPr="00191C0A" w:rsidRDefault="00597EF8" w:rsidP="00294859">
            <w:pPr>
              <w:jc w:val="center"/>
            </w:pPr>
            <w:r w:rsidRPr="00191C0A">
              <w:t>PHASE 1</w:t>
            </w:r>
          </w:p>
          <w:p w:rsidR="00597EF8" w:rsidRPr="00191C0A" w:rsidRDefault="00597EF8" w:rsidP="00294859">
            <w:pPr>
              <w:jc w:val="center"/>
            </w:pPr>
          </w:p>
          <w:p w:rsidR="00191C0A" w:rsidRPr="00191C0A" w:rsidRDefault="00191C0A" w:rsidP="00294859">
            <w:pPr>
              <w:jc w:val="center"/>
            </w:pPr>
          </w:p>
          <w:p w:rsidR="00191C0A" w:rsidRPr="00191C0A" w:rsidRDefault="00191C0A" w:rsidP="00294859">
            <w:pPr>
              <w:jc w:val="center"/>
            </w:pPr>
          </w:p>
          <w:p w:rsidR="00191C0A" w:rsidRPr="00191C0A" w:rsidRDefault="00191C0A" w:rsidP="00294859">
            <w:pPr>
              <w:jc w:val="center"/>
            </w:pPr>
          </w:p>
          <w:p w:rsidR="00597EF8" w:rsidRPr="00191C0A" w:rsidRDefault="00597EF8" w:rsidP="00294859">
            <w:pPr>
              <w:jc w:val="center"/>
            </w:pPr>
            <w:r w:rsidRPr="00191C0A">
              <w:t>Allegation</w:t>
            </w:r>
            <w:r w:rsidR="00191C0A" w:rsidRPr="00191C0A">
              <w:t xml:space="preserve"> Phase</w:t>
            </w:r>
          </w:p>
        </w:tc>
        <w:tc>
          <w:tcPr>
            <w:tcW w:w="7461" w:type="dxa"/>
            <w:shd w:val="clear" w:color="auto" w:fill="auto"/>
          </w:tcPr>
          <w:p w:rsidR="00597EF8" w:rsidRPr="00191C0A" w:rsidRDefault="00597EF8">
            <w:r w:rsidRPr="00191C0A">
              <w:t>FWW receives an allegation of an offense. This may come in several forms</w:t>
            </w:r>
            <w:r w:rsidR="00191C0A" w:rsidRPr="00191C0A">
              <w:t>, including but not limited to</w:t>
            </w:r>
            <w:r w:rsidRPr="00191C0A">
              <w:t>:</w:t>
            </w:r>
          </w:p>
          <w:p w:rsidR="00597EF8" w:rsidRPr="00191C0A" w:rsidRDefault="00597EF8" w:rsidP="00597EF8">
            <w:pPr>
              <w:pStyle w:val="ListParagraph"/>
              <w:numPr>
                <w:ilvl w:val="0"/>
                <w:numId w:val="1"/>
              </w:numPr>
            </w:pPr>
            <w:r w:rsidRPr="00191C0A">
              <w:t>A Referee’s or Assistant Referee’s Report</w:t>
            </w:r>
          </w:p>
          <w:p w:rsidR="00597EF8" w:rsidRPr="00191C0A" w:rsidRDefault="00597EF8" w:rsidP="00597EF8">
            <w:pPr>
              <w:pStyle w:val="ListParagraph"/>
              <w:numPr>
                <w:ilvl w:val="0"/>
                <w:numId w:val="1"/>
              </w:numPr>
            </w:pPr>
            <w:r w:rsidRPr="00191C0A">
              <w:t>A written allegation from a FWW Member Club</w:t>
            </w:r>
          </w:p>
          <w:p w:rsidR="00597EF8" w:rsidRPr="00191C0A" w:rsidRDefault="00597EF8" w:rsidP="00597EF8">
            <w:pPr>
              <w:pStyle w:val="ListParagraph"/>
              <w:numPr>
                <w:ilvl w:val="0"/>
                <w:numId w:val="1"/>
              </w:numPr>
            </w:pPr>
            <w:r w:rsidRPr="00191C0A">
              <w:t>A written allegation from a FWW Individual member (</w:t>
            </w:r>
            <w:proofErr w:type="spellStart"/>
            <w:r w:rsidRPr="00191C0A">
              <w:t>eg</w:t>
            </w:r>
            <w:proofErr w:type="spellEnd"/>
            <w:r w:rsidRPr="00191C0A">
              <w:t xml:space="preserve"> player, coach, spectator)</w:t>
            </w:r>
          </w:p>
          <w:p w:rsidR="00597EF8" w:rsidRPr="00191C0A" w:rsidRDefault="00597EF8"/>
          <w:p w:rsidR="00597EF8" w:rsidRPr="00191C0A" w:rsidRDefault="00597EF8">
            <w:r w:rsidRPr="00191C0A">
              <w:t>Football Wagga Wagga may seek further written statements to support the allegation.</w:t>
            </w:r>
          </w:p>
          <w:p w:rsidR="00597EF8" w:rsidRPr="00191C0A" w:rsidRDefault="00597EF8">
            <w:r w:rsidRPr="00191C0A">
              <w:t>Football Wagga Wagga will generally rely upon statements provided to it.</w:t>
            </w:r>
          </w:p>
          <w:p w:rsidR="00597EF8" w:rsidRPr="00191C0A" w:rsidRDefault="00597EF8">
            <w:r w:rsidRPr="00191C0A">
              <w:t>Football Wagga Wagga may seek advice from FNSW or from members of its Judicial Panel.</w:t>
            </w:r>
          </w:p>
          <w:p w:rsidR="00597EF8" w:rsidRPr="00191C0A" w:rsidRDefault="00597EF8"/>
          <w:p w:rsidR="00597EF8" w:rsidRDefault="00597EF8" w:rsidP="00191C0A">
            <w:r w:rsidRPr="00191C0A">
              <w:t>DECISION: FWW will determine whether the allegations could lead to a Charge being laid.</w:t>
            </w:r>
            <w:r w:rsidR="00191C0A">
              <w:t xml:space="preserve"> If in its opinion it could, FWW will move to Phase 2a or Phase 2b at its absolute discretion.</w:t>
            </w:r>
          </w:p>
          <w:p w:rsidR="00191C0A" w:rsidRDefault="00191C0A" w:rsidP="00191C0A"/>
          <w:p w:rsidR="00191C0A" w:rsidRPr="00191C0A" w:rsidRDefault="00191C0A" w:rsidP="00191C0A">
            <w:r>
              <w:t>If at this stage FWW decides that no further action will be taken, the matter will be dismissed.</w:t>
            </w:r>
          </w:p>
        </w:tc>
      </w:tr>
      <w:tr w:rsidR="00597EF8" w:rsidTr="00294859">
        <w:tc>
          <w:tcPr>
            <w:tcW w:w="1555" w:type="dxa"/>
            <w:vAlign w:val="center"/>
          </w:tcPr>
          <w:p w:rsidR="00597EF8" w:rsidRDefault="00597EF8" w:rsidP="00294859">
            <w:pPr>
              <w:jc w:val="center"/>
            </w:pPr>
            <w:r>
              <w:t>PHASE 2a</w:t>
            </w:r>
          </w:p>
          <w:p w:rsidR="00597EF8" w:rsidRDefault="00597EF8" w:rsidP="00294859">
            <w:pPr>
              <w:jc w:val="center"/>
            </w:pPr>
          </w:p>
          <w:p w:rsidR="00294859" w:rsidRDefault="00294859" w:rsidP="00294859">
            <w:pPr>
              <w:jc w:val="center"/>
            </w:pPr>
          </w:p>
          <w:p w:rsidR="00294859" w:rsidRDefault="00294859" w:rsidP="00294859">
            <w:pPr>
              <w:jc w:val="center"/>
            </w:pPr>
          </w:p>
          <w:p w:rsidR="00597EF8" w:rsidRDefault="00597EF8" w:rsidP="00294859">
            <w:pPr>
              <w:jc w:val="center"/>
            </w:pPr>
            <w:r>
              <w:t>Opportunity to respond</w:t>
            </w:r>
          </w:p>
        </w:tc>
        <w:tc>
          <w:tcPr>
            <w:tcW w:w="7461" w:type="dxa"/>
          </w:tcPr>
          <w:p w:rsidR="00597EF8" w:rsidRDefault="00597EF8">
            <w:r>
              <w:t>FWW may give the defendant the opportunity to provide written statements. Football Wagga Wagga will:</w:t>
            </w:r>
          </w:p>
          <w:p w:rsidR="00597EF8" w:rsidRDefault="00597EF8" w:rsidP="00597EF8">
            <w:pPr>
              <w:pStyle w:val="ListParagraph"/>
              <w:numPr>
                <w:ilvl w:val="0"/>
                <w:numId w:val="2"/>
              </w:numPr>
            </w:pPr>
            <w:r>
              <w:t>Provide the defendant with a copy of the or</w:t>
            </w:r>
            <w:r w:rsidR="00191C0A">
              <w:t xml:space="preserve">iginal statement containing the </w:t>
            </w:r>
            <w:r>
              <w:t>allegation.</w:t>
            </w:r>
          </w:p>
          <w:p w:rsidR="00597EF8" w:rsidRDefault="00597EF8" w:rsidP="00597EF8">
            <w:pPr>
              <w:pStyle w:val="ListParagraph"/>
              <w:numPr>
                <w:ilvl w:val="0"/>
                <w:numId w:val="2"/>
              </w:numPr>
            </w:pPr>
            <w:r>
              <w:t>Give the defendant a time period in which to provide a statement.</w:t>
            </w:r>
          </w:p>
          <w:p w:rsidR="00191C0A" w:rsidRDefault="00191C0A" w:rsidP="00597EF8"/>
          <w:p w:rsidR="00597EF8" w:rsidRDefault="00597EF8" w:rsidP="00597EF8">
            <w:r>
              <w:t>If the defendant cho</w:t>
            </w:r>
            <w:r w:rsidR="00191C0A">
              <w:t>o</w:t>
            </w:r>
            <w:r>
              <w:t>ses not to supply a statement, this in no way would be considered an admission of guilt.</w:t>
            </w:r>
          </w:p>
          <w:p w:rsidR="00597EF8" w:rsidRDefault="00597EF8" w:rsidP="00597EF8"/>
          <w:p w:rsidR="00597EF8" w:rsidRDefault="00597EF8" w:rsidP="00597EF8">
            <w:r>
              <w:t>DECISION: Based on the statements collected, FWW will decide whether to proceed with the charge</w:t>
            </w:r>
          </w:p>
        </w:tc>
      </w:tr>
      <w:tr w:rsidR="00597EF8" w:rsidTr="00294859">
        <w:tc>
          <w:tcPr>
            <w:tcW w:w="1555" w:type="dxa"/>
            <w:vAlign w:val="center"/>
          </w:tcPr>
          <w:p w:rsidR="00597EF8" w:rsidRDefault="00597EF8" w:rsidP="00294859">
            <w:pPr>
              <w:jc w:val="center"/>
            </w:pPr>
            <w:r>
              <w:t>PHASE 2b</w:t>
            </w:r>
          </w:p>
          <w:p w:rsidR="00597EF8" w:rsidRDefault="00597EF8" w:rsidP="00294859">
            <w:pPr>
              <w:jc w:val="center"/>
            </w:pPr>
          </w:p>
          <w:p w:rsidR="00597EF8" w:rsidRDefault="00597EF8" w:rsidP="00294859">
            <w:pPr>
              <w:jc w:val="center"/>
            </w:pPr>
            <w:r>
              <w:t>Direct charge</w:t>
            </w:r>
          </w:p>
        </w:tc>
        <w:tc>
          <w:tcPr>
            <w:tcW w:w="7461" w:type="dxa"/>
          </w:tcPr>
          <w:p w:rsidR="00597EF8" w:rsidRDefault="00597EF8">
            <w:r>
              <w:t>FWW may, at its sole discretion, proceed directly from Phase 1 to Phase 3 without seeking statements from the defendant.</w:t>
            </w:r>
          </w:p>
        </w:tc>
      </w:tr>
      <w:tr w:rsidR="00597EF8" w:rsidTr="00294859">
        <w:tc>
          <w:tcPr>
            <w:tcW w:w="1555" w:type="dxa"/>
            <w:vAlign w:val="center"/>
          </w:tcPr>
          <w:p w:rsidR="00597EF8" w:rsidRDefault="00597EF8" w:rsidP="00294859">
            <w:pPr>
              <w:jc w:val="center"/>
            </w:pPr>
            <w:r>
              <w:t>PHASE 3</w:t>
            </w:r>
          </w:p>
          <w:p w:rsidR="00597EF8" w:rsidRDefault="00597EF8" w:rsidP="00294859">
            <w:pPr>
              <w:jc w:val="center"/>
            </w:pPr>
          </w:p>
          <w:p w:rsidR="00294859" w:rsidRDefault="00294859" w:rsidP="00294859">
            <w:pPr>
              <w:jc w:val="center"/>
            </w:pPr>
          </w:p>
          <w:p w:rsidR="00294859" w:rsidRDefault="00294859" w:rsidP="00294859">
            <w:pPr>
              <w:jc w:val="center"/>
            </w:pPr>
          </w:p>
          <w:p w:rsidR="00597EF8" w:rsidRDefault="00597EF8" w:rsidP="00294859">
            <w:pPr>
              <w:jc w:val="center"/>
            </w:pPr>
            <w:r>
              <w:t>Notice of Charge</w:t>
            </w:r>
          </w:p>
        </w:tc>
        <w:tc>
          <w:tcPr>
            <w:tcW w:w="7461" w:type="dxa"/>
          </w:tcPr>
          <w:p w:rsidR="00597EF8" w:rsidRDefault="00597EF8" w:rsidP="00597EF8">
            <w:r>
              <w:t>FWW will issue a Notice of Charge to the defendant (via their member club).</w:t>
            </w:r>
            <w:r w:rsidR="00191C0A">
              <w:t xml:space="preserve"> This will include a date and time at which the GPT hearing is to be held.</w:t>
            </w:r>
          </w:p>
          <w:p w:rsidR="00597EF8" w:rsidRDefault="00597EF8" w:rsidP="00597EF8"/>
          <w:p w:rsidR="00597EF8" w:rsidRDefault="00597EF8" w:rsidP="00597EF8">
            <w:r>
              <w:t>The defendant has the opportunity to supply further statements and submit a Notice of Response in which they may cho</w:t>
            </w:r>
            <w:r w:rsidR="00191C0A">
              <w:t>o</w:t>
            </w:r>
            <w:r>
              <w:t>se to plead.</w:t>
            </w:r>
          </w:p>
          <w:p w:rsidR="00597EF8" w:rsidRDefault="00597EF8" w:rsidP="00597EF8"/>
          <w:p w:rsidR="00191C0A" w:rsidRDefault="00597EF8" w:rsidP="00597EF8">
            <w:r>
              <w:t>The Notice of Response and any further statements must be supplied to FWW by the time and date stipulated in the Notice of Charge</w:t>
            </w:r>
            <w:r w:rsidR="00191C0A">
              <w:t>. No further statements will be accepted by the GPT after the date and time stipulated on the Notice of Charge.</w:t>
            </w:r>
          </w:p>
        </w:tc>
      </w:tr>
      <w:tr w:rsidR="00597EF8" w:rsidTr="00294859">
        <w:tc>
          <w:tcPr>
            <w:tcW w:w="1555" w:type="dxa"/>
            <w:vAlign w:val="center"/>
          </w:tcPr>
          <w:p w:rsidR="00597EF8" w:rsidRDefault="00597EF8" w:rsidP="00294859">
            <w:pPr>
              <w:jc w:val="center"/>
            </w:pPr>
            <w:r>
              <w:lastRenderedPageBreak/>
              <w:t>PHASE 4</w:t>
            </w:r>
          </w:p>
          <w:p w:rsidR="00597EF8" w:rsidRDefault="00597EF8" w:rsidP="00294859">
            <w:pPr>
              <w:jc w:val="center"/>
            </w:pPr>
          </w:p>
          <w:p w:rsidR="00294859" w:rsidRDefault="00294859" w:rsidP="00294859">
            <w:pPr>
              <w:jc w:val="center"/>
            </w:pPr>
          </w:p>
          <w:p w:rsidR="00597EF8" w:rsidRDefault="00597EF8" w:rsidP="00294859">
            <w:pPr>
              <w:jc w:val="center"/>
            </w:pPr>
            <w:r>
              <w:t>Pre-GPT</w:t>
            </w:r>
            <w:r w:rsidR="00294859">
              <w:t xml:space="preserve"> Hearing</w:t>
            </w:r>
          </w:p>
        </w:tc>
        <w:tc>
          <w:tcPr>
            <w:tcW w:w="7461" w:type="dxa"/>
          </w:tcPr>
          <w:p w:rsidR="00597EF8" w:rsidRDefault="00191C0A" w:rsidP="00597EF8">
            <w:r>
              <w:t>Prior to the GPT hearing, FWW will provide the defendant with a copy of all statements collected.</w:t>
            </w:r>
          </w:p>
        </w:tc>
      </w:tr>
      <w:tr w:rsidR="00191C0A" w:rsidTr="00294859">
        <w:tc>
          <w:tcPr>
            <w:tcW w:w="1555" w:type="dxa"/>
            <w:vAlign w:val="center"/>
          </w:tcPr>
          <w:p w:rsidR="00191C0A" w:rsidRDefault="00191C0A" w:rsidP="00294859">
            <w:pPr>
              <w:jc w:val="center"/>
            </w:pPr>
            <w:r>
              <w:t>PHASE 5</w:t>
            </w:r>
          </w:p>
          <w:p w:rsidR="00191C0A" w:rsidRDefault="00191C0A" w:rsidP="00294859">
            <w:pPr>
              <w:jc w:val="center"/>
            </w:pPr>
          </w:p>
          <w:p w:rsidR="00191C0A" w:rsidRDefault="00191C0A" w:rsidP="00294859">
            <w:pPr>
              <w:jc w:val="center"/>
            </w:pPr>
            <w:r>
              <w:t>GPT</w:t>
            </w:r>
            <w:r w:rsidR="00294859">
              <w:t xml:space="preserve"> Hearing</w:t>
            </w:r>
          </w:p>
        </w:tc>
        <w:tc>
          <w:tcPr>
            <w:tcW w:w="7461" w:type="dxa"/>
          </w:tcPr>
          <w:p w:rsidR="00191C0A" w:rsidRDefault="00191C0A" w:rsidP="00597EF8">
            <w:r>
              <w:t>The GPT will hear the charge. The following general procedures will apply:</w:t>
            </w:r>
          </w:p>
          <w:p w:rsidR="00191C0A" w:rsidRDefault="00191C0A" w:rsidP="00191C0A">
            <w:pPr>
              <w:pStyle w:val="ListParagraph"/>
              <w:numPr>
                <w:ilvl w:val="0"/>
                <w:numId w:val="3"/>
              </w:numPr>
            </w:pPr>
            <w:r>
              <w:t>Both parties may be present at the GPT. Note that this is not compulsory.</w:t>
            </w:r>
          </w:p>
          <w:p w:rsidR="00191C0A" w:rsidRDefault="00191C0A" w:rsidP="00191C0A">
            <w:pPr>
              <w:pStyle w:val="ListParagraph"/>
              <w:numPr>
                <w:ilvl w:val="0"/>
                <w:numId w:val="3"/>
              </w:numPr>
            </w:pPr>
            <w:r>
              <w:t>Witnesses may be called by either party so long as they either:</w:t>
            </w:r>
          </w:p>
          <w:p w:rsidR="00191C0A" w:rsidRDefault="00191C0A" w:rsidP="00191C0A">
            <w:pPr>
              <w:pStyle w:val="ListParagraph"/>
              <w:numPr>
                <w:ilvl w:val="1"/>
                <w:numId w:val="3"/>
              </w:numPr>
            </w:pPr>
            <w:r>
              <w:t>Provided a Witness Statement; or</w:t>
            </w:r>
          </w:p>
          <w:p w:rsidR="00191C0A" w:rsidRDefault="00191C0A" w:rsidP="00191C0A">
            <w:pPr>
              <w:pStyle w:val="ListParagraph"/>
              <w:numPr>
                <w:ilvl w:val="1"/>
                <w:numId w:val="3"/>
              </w:numPr>
            </w:pPr>
            <w:r>
              <w:t>Were identified on the Notice of Response</w:t>
            </w:r>
          </w:p>
          <w:p w:rsidR="00191C0A" w:rsidRDefault="00191C0A" w:rsidP="00191C0A">
            <w:pPr>
              <w:pStyle w:val="ListParagraph"/>
              <w:numPr>
                <w:ilvl w:val="0"/>
                <w:numId w:val="3"/>
              </w:numPr>
            </w:pPr>
            <w:r>
              <w:t>The GPT will make a decision at the hearing and notify FWW in writing of this. A full report by the GPT will be provided to FWW within 14 days of the hearing.</w:t>
            </w:r>
          </w:p>
        </w:tc>
      </w:tr>
      <w:tr w:rsidR="00A82C23" w:rsidTr="00A82C23">
        <w:tc>
          <w:tcPr>
            <w:tcW w:w="1555" w:type="dxa"/>
          </w:tcPr>
          <w:p w:rsidR="00A82C23" w:rsidRDefault="00A82C23" w:rsidP="00B84169">
            <w:pPr>
              <w:jc w:val="center"/>
            </w:pPr>
            <w:r>
              <w:t xml:space="preserve">PHASE </w:t>
            </w:r>
            <w:r>
              <w:t>6</w:t>
            </w:r>
          </w:p>
          <w:p w:rsidR="00A82C23" w:rsidRDefault="00A82C23" w:rsidP="00B84169">
            <w:pPr>
              <w:jc w:val="center"/>
            </w:pPr>
          </w:p>
          <w:p w:rsidR="00A82C23" w:rsidRDefault="00A82C23" w:rsidP="00A82C23">
            <w:pPr>
              <w:jc w:val="center"/>
            </w:pPr>
            <w:r>
              <w:t>Appeal</w:t>
            </w:r>
            <w:r>
              <w:t>ing a GPT Decision</w:t>
            </w:r>
          </w:p>
        </w:tc>
        <w:tc>
          <w:tcPr>
            <w:tcW w:w="7461" w:type="dxa"/>
          </w:tcPr>
          <w:p w:rsidR="00A82C23" w:rsidRDefault="00A82C23" w:rsidP="00B84169">
            <w:r>
              <w:t xml:space="preserve">Following the decision from the </w:t>
            </w:r>
            <w:r>
              <w:t>GPT</w:t>
            </w:r>
            <w:r>
              <w:t xml:space="preserve"> in Phase </w:t>
            </w:r>
            <w:r>
              <w:t>5</w:t>
            </w:r>
            <w:r>
              <w:t>, the club may submit a further appeal to the Appeals Tribunal. A Notice of Appeal must be supplied.</w:t>
            </w:r>
          </w:p>
          <w:p w:rsidR="00A82C23" w:rsidRDefault="00A82C23" w:rsidP="00B84169"/>
          <w:p w:rsidR="00A82C23" w:rsidRDefault="00A82C23" w:rsidP="00B84169">
            <w:r>
              <w:t>Full details of further appeal pathways are provided in the Regulations.</w:t>
            </w:r>
            <w:bookmarkStart w:id="0" w:name="_GoBack"/>
            <w:bookmarkEnd w:id="0"/>
          </w:p>
        </w:tc>
      </w:tr>
    </w:tbl>
    <w:p w:rsidR="00F9186D" w:rsidRDefault="00F9186D"/>
    <w:sectPr w:rsidR="00F91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6ACB"/>
    <w:multiLevelType w:val="hybridMultilevel"/>
    <w:tmpl w:val="791CA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466A3"/>
    <w:multiLevelType w:val="hybridMultilevel"/>
    <w:tmpl w:val="A68015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5D5A"/>
    <w:multiLevelType w:val="hybridMultilevel"/>
    <w:tmpl w:val="782255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F8"/>
    <w:rsid w:val="00191C0A"/>
    <w:rsid w:val="00294859"/>
    <w:rsid w:val="005555D0"/>
    <w:rsid w:val="00597EF8"/>
    <w:rsid w:val="007E4BE3"/>
    <w:rsid w:val="008566A0"/>
    <w:rsid w:val="00976578"/>
    <w:rsid w:val="00A82C23"/>
    <w:rsid w:val="00DD7E89"/>
    <w:rsid w:val="00F9186D"/>
    <w:rsid w:val="00FB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6CF29-3D40-44C3-B460-25CDC5B5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Budde</dc:creator>
  <cp:keywords/>
  <dc:description/>
  <cp:lastModifiedBy>Erwin Budde</cp:lastModifiedBy>
  <cp:revision>2</cp:revision>
  <dcterms:created xsi:type="dcterms:W3CDTF">2015-09-02T09:32:00Z</dcterms:created>
  <dcterms:modified xsi:type="dcterms:W3CDTF">2015-09-02T10:05:00Z</dcterms:modified>
</cp:coreProperties>
</file>