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6CB5" w14:textId="77777777" w:rsidR="00BF63E3" w:rsidRPr="007C787C" w:rsidRDefault="006F6550" w:rsidP="007C787C">
      <w:pPr>
        <w:jc w:val="center"/>
        <w:rPr>
          <w:sz w:val="48"/>
          <w:szCs w:val="48"/>
        </w:rPr>
      </w:pPr>
      <w:r>
        <w:rPr>
          <w:noProof/>
        </w:rPr>
        <w:drawing>
          <wp:inline distT="0" distB="0" distL="0" distR="0" wp14:anchorId="2BFF1753" wp14:editId="742E9315">
            <wp:extent cx="2232561" cy="1223158"/>
            <wp:effectExtent l="0" t="0" r="0" b="0"/>
            <wp:docPr id="1" name="Picture 1" descr="214885C8"/>
            <wp:cNvGraphicFramePr/>
            <a:graphic xmlns:a="http://schemas.openxmlformats.org/drawingml/2006/main">
              <a:graphicData uri="http://schemas.openxmlformats.org/drawingml/2006/picture">
                <pic:pic xmlns:pic="http://schemas.openxmlformats.org/drawingml/2006/picture">
                  <pic:nvPicPr>
                    <pic:cNvPr id="1" name="Picture 1" descr="214885C8"/>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2409" cy="1223075"/>
                    </a:xfrm>
                    <a:prstGeom prst="rect">
                      <a:avLst/>
                    </a:prstGeom>
                    <a:noFill/>
                    <a:ln>
                      <a:noFill/>
                    </a:ln>
                  </pic:spPr>
                </pic:pic>
              </a:graphicData>
            </a:graphic>
          </wp:inline>
        </w:drawing>
      </w:r>
    </w:p>
    <w:p w14:paraId="0D44355F" w14:textId="77777777" w:rsidR="00F71F62" w:rsidRPr="00C8625A" w:rsidRDefault="00F71F62" w:rsidP="00F71F62">
      <w:pPr>
        <w:jc w:val="center"/>
        <w:rPr>
          <w:rFonts w:ascii="Arial Rounded MT Bold" w:hAnsi="Arial Rounded MT Bold"/>
          <w:sz w:val="36"/>
          <w:szCs w:val="36"/>
        </w:rPr>
      </w:pPr>
      <w:r w:rsidRPr="00C8625A">
        <w:rPr>
          <w:rFonts w:ascii="Arial Rounded MT Bold" w:hAnsi="Arial Rounded MT Bold"/>
          <w:sz w:val="36"/>
          <w:szCs w:val="36"/>
        </w:rPr>
        <w:t>Code of Conduct</w:t>
      </w:r>
    </w:p>
    <w:p w14:paraId="0CC03A48" w14:textId="77777777" w:rsidR="00F71F62" w:rsidRPr="007C787C" w:rsidRDefault="00F71F62" w:rsidP="00F71F62">
      <w:pPr>
        <w:pStyle w:val="NoSpacing"/>
        <w:rPr>
          <w:sz w:val="24"/>
          <w:szCs w:val="24"/>
        </w:rPr>
      </w:pPr>
      <w:r w:rsidRPr="007C787C">
        <w:rPr>
          <w:sz w:val="24"/>
          <w:szCs w:val="24"/>
        </w:rPr>
        <w:t>To ensure a safe and enjoyable environment for all parents, spectators and participants, BMBA have in place a Zero Tolerance Policy for inappropriate behaviour for Players</w:t>
      </w:r>
    </w:p>
    <w:p w14:paraId="45889B8C" w14:textId="77777777" w:rsidR="00F71F62" w:rsidRPr="007C787C" w:rsidRDefault="00F71F62" w:rsidP="00F71F62">
      <w:pPr>
        <w:pStyle w:val="NoSpacing"/>
        <w:rPr>
          <w:sz w:val="24"/>
          <w:szCs w:val="24"/>
        </w:rPr>
      </w:pPr>
    </w:p>
    <w:p w14:paraId="24C416F6" w14:textId="77777777" w:rsidR="00F71F62" w:rsidRPr="007C787C" w:rsidRDefault="00F71F62" w:rsidP="00F71F62">
      <w:pPr>
        <w:pStyle w:val="NoSpacing"/>
        <w:rPr>
          <w:sz w:val="24"/>
          <w:szCs w:val="24"/>
        </w:rPr>
      </w:pPr>
      <w:r w:rsidRPr="007C787C">
        <w:rPr>
          <w:b/>
          <w:sz w:val="24"/>
          <w:szCs w:val="24"/>
        </w:rPr>
        <w:t>ALL PLAYER</w:t>
      </w:r>
      <w:r w:rsidR="007C787C" w:rsidRPr="007C787C">
        <w:rPr>
          <w:b/>
          <w:sz w:val="24"/>
          <w:szCs w:val="24"/>
        </w:rPr>
        <w:t>S</w:t>
      </w:r>
      <w:r w:rsidRPr="007C787C">
        <w:rPr>
          <w:b/>
          <w:sz w:val="24"/>
          <w:szCs w:val="24"/>
        </w:rPr>
        <w:t xml:space="preserve"> HAVE TO ACCEPT RESPONSIBILITY FOR THEIR BEHAVIOUR.</w:t>
      </w:r>
    </w:p>
    <w:p w14:paraId="11B1B1B0" w14:textId="77777777" w:rsidR="00F71F62" w:rsidRPr="007C787C" w:rsidRDefault="00F71F62" w:rsidP="00F71F62">
      <w:pPr>
        <w:pStyle w:val="NoSpacing"/>
        <w:rPr>
          <w:sz w:val="24"/>
          <w:szCs w:val="24"/>
        </w:rPr>
      </w:pPr>
    </w:p>
    <w:p w14:paraId="68FA6A00" w14:textId="77777777" w:rsidR="00BF63E3" w:rsidRPr="007C787C" w:rsidRDefault="00BF63E3" w:rsidP="00BF63E3">
      <w:pPr>
        <w:pStyle w:val="NoSpacing"/>
        <w:numPr>
          <w:ilvl w:val="0"/>
          <w:numId w:val="1"/>
        </w:numPr>
        <w:rPr>
          <w:sz w:val="24"/>
          <w:szCs w:val="24"/>
        </w:rPr>
      </w:pPr>
      <w:r w:rsidRPr="007C787C">
        <w:rPr>
          <w:sz w:val="24"/>
          <w:szCs w:val="24"/>
        </w:rPr>
        <w:t xml:space="preserve">There will be ZERO TOLERANCE </w:t>
      </w:r>
      <w:r w:rsidR="00F71F62" w:rsidRPr="007C787C">
        <w:rPr>
          <w:sz w:val="24"/>
          <w:szCs w:val="24"/>
        </w:rPr>
        <w:t>shown towards anyone displaying any inappropriate o</w:t>
      </w:r>
      <w:r w:rsidRPr="007C787C">
        <w:rPr>
          <w:sz w:val="24"/>
          <w:szCs w:val="24"/>
        </w:rPr>
        <w:t>r abusive behaviour.</w:t>
      </w:r>
    </w:p>
    <w:p w14:paraId="69C183A0" w14:textId="77777777" w:rsidR="00F71F62" w:rsidRPr="007C787C" w:rsidRDefault="00BF63E3" w:rsidP="00BF63E3">
      <w:pPr>
        <w:pStyle w:val="NoSpacing"/>
        <w:numPr>
          <w:ilvl w:val="0"/>
          <w:numId w:val="1"/>
        </w:numPr>
        <w:rPr>
          <w:sz w:val="24"/>
          <w:szCs w:val="24"/>
        </w:rPr>
      </w:pPr>
      <w:r w:rsidRPr="007C787C">
        <w:rPr>
          <w:sz w:val="24"/>
          <w:szCs w:val="24"/>
        </w:rPr>
        <w:t>Any player who:</w:t>
      </w:r>
      <w:r w:rsidR="00F71F62" w:rsidRPr="007C787C">
        <w:rPr>
          <w:sz w:val="24"/>
          <w:szCs w:val="24"/>
        </w:rPr>
        <w:t xml:space="preserve"> </w:t>
      </w:r>
    </w:p>
    <w:p w14:paraId="3FE3741B" w14:textId="77777777" w:rsidR="00F71F62" w:rsidRPr="007C787C" w:rsidRDefault="00F71F62" w:rsidP="00F71F62">
      <w:pPr>
        <w:pStyle w:val="NoSpacing"/>
        <w:rPr>
          <w:sz w:val="24"/>
          <w:szCs w:val="24"/>
        </w:rPr>
      </w:pPr>
    </w:p>
    <w:p w14:paraId="13EA07A1" w14:textId="77777777" w:rsidR="00F71F62" w:rsidRPr="007C787C" w:rsidRDefault="00F71F62" w:rsidP="00F71F62">
      <w:pPr>
        <w:pStyle w:val="NoSpacing"/>
        <w:rPr>
          <w:sz w:val="24"/>
          <w:szCs w:val="24"/>
        </w:rPr>
      </w:pPr>
      <w:r w:rsidRPr="007C787C">
        <w:rPr>
          <w:sz w:val="24"/>
          <w:szCs w:val="24"/>
        </w:rPr>
        <w:t>a. Persistently questions or challenges the referees ruling</w:t>
      </w:r>
    </w:p>
    <w:p w14:paraId="14335A79" w14:textId="77777777" w:rsidR="00F71F62" w:rsidRPr="007C787C" w:rsidRDefault="00F71F62" w:rsidP="00F71F62">
      <w:pPr>
        <w:pStyle w:val="NoSpacing"/>
        <w:rPr>
          <w:sz w:val="24"/>
          <w:szCs w:val="24"/>
        </w:rPr>
      </w:pPr>
      <w:r w:rsidRPr="007C787C">
        <w:rPr>
          <w:sz w:val="24"/>
          <w:szCs w:val="24"/>
        </w:rPr>
        <w:t>b. Berate or abuse referees</w:t>
      </w:r>
    </w:p>
    <w:p w14:paraId="1122832A" w14:textId="77777777" w:rsidR="00F71F62" w:rsidRPr="007C787C" w:rsidRDefault="00F71F62" w:rsidP="00F71F62">
      <w:pPr>
        <w:pStyle w:val="NoSpacing"/>
        <w:rPr>
          <w:sz w:val="24"/>
          <w:szCs w:val="24"/>
        </w:rPr>
      </w:pPr>
      <w:r w:rsidRPr="007C787C">
        <w:rPr>
          <w:sz w:val="24"/>
          <w:szCs w:val="24"/>
        </w:rPr>
        <w:t>c. Berate or abuse other players</w:t>
      </w:r>
    </w:p>
    <w:p w14:paraId="740EA65D" w14:textId="77777777" w:rsidR="00F71F62" w:rsidRPr="007C787C" w:rsidRDefault="00F71F62" w:rsidP="00F71F62">
      <w:pPr>
        <w:pStyle w:val="NoSpacing"/>
        <w:rPr>
          <w:sz w:val="24"/>
          <w:szCs w:val="24"/>
        </w:rPr>
      </w:pPr>
      <w:r w:rsidRPr="007C787C">
        <w:rPr>
          <w:sz w:val="24"/>
          <w:szCs w:val="24"/>
        </w:rPr>
        <w:t>d. Berate or abuse parents or spectators.</w:t>
      </w:r>
    </w:p>
    <w:p w14:paraId="71114241" w14:textId="77777777" w:rsidR="00F71F62" w:rsidRPr="007C787C" w:rsidRDefault="00F71F62" w:rsidP="00F71F62">
      <w:pPr>
        <w:pStyle w:val="NoSpacing"/>
        <w:rPr>
          <w:sz w:val="24"/>
          <w:szCs w:val="24"/>
        </w:rPr>
      </w:pPr>
      <w:r w:rsidRPr="007C787C">
        <w:rPr>
          <w:sz w:val="24"/>
          <w:szCs w:val="24"/>
        </w:rPr>
        <w:t>e. Display conduct inappropriate in a sporting venue</w:t>
      </w:r>
    </w:p>
    <w:p w14:paraId="3E27BD36" w14:textId="77777777" w:rsidR="00F71F62" w:rsidRPr="007C787C" w:rsidRDefault="00F71F62" w:rsidP="00F71F62">
      <w:pPr>
        <w:pStyle w:val="NoSpacing"/>
        <w:rPr>
          <w:sz w:val="24"/>
          <w:szCs w:val="24"/>
        </w:rPr>
      </w:pPr>
    </w:p>
    <w:p w14:paraId="1592955D" w14:textId="77777777" w:rsidR="00F71F62" w:rsidRPr="007C787C" w:rsidRDefault="00F71F62" w:rsidP="00F71F62">
      <w:pPr>
        <w:pStyle w:val="NoSpacing"/>
        <w:rPr>
          <w:sz w:val="24"/>
          <w:szCs w:val="24"/>
        </w:rPr>
      </w:pPr>
      <w:r w:rsidRPr="007C787C">
        <w:rPr>
          <w:sz w:val="24"/>
          <w:szCs w:val="24"/>
        </w:rPr>
        <w:t xml:space="preserve">Will be asked to refrain by the game officials </w:t>
      </w:r>
    </w:p>
    <w:p w14:paraId="3378D4F9" w14:textId="77777777" w:rsidR="00F71F62" w:rsidRPr="007C787C" w:rsidRDefault="00F71F62" w:rsidP="00F71F62">
      <w:pPr>
        <w:pStyle w:val="NoSpacing"/>
        <w:rPr>
          <w:sz w:val="24"/>
          <w:szCs w:val="24"/>
        </w:rPr>
      </w:pPr>
    </w:p>
    <w:p w14:paraId="3D8F132C" w14:textId="77777777" w:rsidR="00F71F62" w:rsidRPr="007C787C" w:rsidRDefault="00F71F62" w:rsidP="00F71F62">
      <w:pPr>
        <w:pStyle w:val="NoSpacing"/>
        <w:rPr>
          <w:sz w:val="24"/>
          <w:szCs w:val="24"/>
        </w:rPr>
      </w:pPr>
      <w:r w:rsidRPr="007C787C">
        <w:rPr>
          <w:sz w:val="24"/>
          <w:szCs w:val="24"/>
        </w:rPr>
        <w:t>Failure to refrain when asked will result in either the referee coordinator, court controller or a BMBA representative taking appropriate action to safeguard the safety of other players, spectators and parents. This action may involve asking the person to leave the venue. No warnings need to be given in the event of any action becoming necessary.</w:t>
      </w:r>
    </w:p>
    <w:p w14:paraId="34DF5A19" w14:textId="77777777" w:rsidR="00F71F62" w:rsidRPr="007C787C" w:rsidRDefault="00F71F62" w:rsidP="00F71F62">
      <w:pPr>
        <w:pStyle w:val="NoSpacing"/>
        <w:rPr>
          <w:sz w:val="24"/>
          <w:szCs w:val="24"/>
        </w:rPr>
      </w:pPr>
    </w:p>
    <w:p w14:paraId="7790461F" w14:textId="77777777" w:rsidR="00F71F62" w:rsidRPr="007C787C" w:rsidRDefault="00F71F62" w:rsidP="00F71F62">
      <w:pPr>
        <w:pStyle w:val="NoSpacing"/>
        <w:rPr>
          <w:sz w:val="24"/>
          <w:szCs w:val="24"/>
        </w:rPr>
      </w:pPr>
      <w:r w:rsidRPr="007C787C">
        <w:rPr>
          <w:sz w:val="24"/>
          <w:szCs w:val="24"/>
        </w:rPr>
        <w:t>Any Player requesting clarification on rulings should direct their feedback through the Referee Coordinator or the BMBA Committee.</w:t>
      </w:r>
    </w:p>
    <w:p w14:paraId="74DF19AE" w14:textId="77777777" w:rsidR="00F71F62" w:rsidRPr="007C787C" w:rsidRDefault="00F71F62" w:rsidP="00F71F62">
      <w:pPr>
        <w:pStyle w:val="NoSpacing"/>
        <w:rPr>
          <w:sz w:val="24"/>
          <w:szCs w:val="24"/>
        </w:rPr>
      </w:pPr>
    </w:p>
    <w:p w14:paraId="2DE92352" w14:textId="77777777" w:rsidR="00F71F62" w:rsidRPr="007C787C" w:rsidRDefault="00F71F62" w:rsidP="00F71F62">
      <w:pPr>
        <w:pStyle w:val="NoSpacing"/>
        <w:rPr>
          <w:sz w:val="24"/>
          <w:szCs w:val="24"/>
        </w:rPr>
      </w:pPr>
      <w:r w:rsidRPr="007C787C">
        <w:rPr>
          <w:sz w:val="24"/>
          <w:szCs w:val="24"/>
        </w:rPr>
        <w:t>BMBA endeavours to raise the standard of games with the development of game officials and to provid</w:t>
      </w:r>
      <w:r w:rsidR="007C787C" w:rsidRPr="007C787C">
        <w:rPr>
          <w:sz w:val="24"/>
          <w:szCs w:val="24"/>
        </w:rPr>
        <w:t>e well organised and officiated</w:t>
      </w:r>
      <w:r w:rsidRPr="007C787C">
        <w:rPr>
          <w:sz w:val="24"/>
          <w:szCs w:val="24"/>
        </w:rPr>
        <w:t xml:space="preserve"> competitions for all to enjoy.</w:t>
      </w:r>
    </w:p>
    <w:p w14:paraId="63FCC50C" w14:textId="77777777" w:rsidR="007C787C" w:rsidRDefault="007C787C" w:rsidP="00F71F62">
      <w:pPr>
        <w:pStyle w:val="NoSpacing"/>
        <w:rPr>
          <w:sz w:val="24"/>
          <w:szCs w:val="24"/>
        </w:rPr>
      </w:pPr>
    </w:p>
    <w:p w14:paraId="73204967" w14:textId="77777777" w:rsidR="007C787C" w:rsidRPr="007C787C" w:rsidRDefault="007C787C" w:rsidP="00F71F62">
      <w:pPr>
        <w:pStyle w:val="NoSpacing"/>
        <w:rPr>
          <w:b/>
          <w:sz w:val="24"/>
          <w:szCs w:val="24"/>
        </w:rPr>
      </w:pPr>
      <w:r w:rsidRPr="007C787C">
        <w:rPr>
          <w:b/>
          <w:sz w:val="24"/>
          <w:szCs w:val="24"/>
        </w:rPr>
        <w:t>Team</w:t>
      </w:r>
      <w:r w:rsidR="00C8625A">
        <w:rPr>
          <w:b/>
          <w:sz w:val="24"/>
          <w:szCs w:val="24"/>
        </w:rPr>
        <w:t xml:space="preserve">                                                                                       Coach</w:t>
      </w:r>
    </w:p>
    <w:p w14:paraId="38ACF1C6" w14:textId="77777777" w:rsidR="007C787C" w:rsidRPr="00C8625A" w:rsidRDefault="007C787C" w:rsidP="00F71F62">
      <w:pPr>
        <w:pStyle w:val="NoSpacing"/>
        <w:rPr>
          <w:sz w:val="28"/>
          <w:szCs w:val="28"/>
        </w:rPr>
      </w:pPr>
    </w:p>
    <w:tbl>
      <w:tblPr>
        <w:tblStyle w:val="TableGrid"/>
        <w:tblW w:w="0" w:type="auto"/>
        <w:tblLook w:val="04A0" w:firstRow="1" w:lastRow="0" w:firstColumn="1" w:lastColumn="0" w:noHBand="0" w:noVBand="1"/>
      </w:tblPr>
      <w:tblGrid>
        <w:gridCol w:w="5341"/>
        <w:gridCol w:w="5341"/>
      </w:tblGrid>
      <w:tr w:rsidR="007C787C" w:rsidRPr="00C8625A" w14:paraId="14A9BCE5" w14:textId="77777777" w:rsidTr="007C787C">
        <w:tc>
          <w:tcPr>
            <w:tcW w:w="5341" w:type="dxa"/>
          </w:tcPr>
          <w:p w14:paraId="5DC40E6C" w14:textId="77777777" w:rsidR="007C787C" w:rsidRPr="00C8625A" w:rsidRDefault="007C787C" w:rsidP="00F71F62">
            <w:pPr>
              <w:pStyle w:val="NoSpacing"/>
              <w:rPr>
                <w:sz w:val="28"/>
                <w:szCs w:val="28"/>
              </w:rPr>
            </w:pPr>
            <w:r w:rsidRPr="00C8625A">
              <w:rPr>
                <w:sz w:val="28"/>
                <w:szCs w:val="28"/>
              </w:rPr>
              <w:t>Name</w:t>
            </w:r>
          </w:p>
        </w:tc>
        <w:tc>
          <w:tcPr>
            <w:tcW w:w="5341" w:type="dxa"/>
          </w:tcPr>
          <w:p w14:paraId="456A28BD" w14:textId="77777777" w:rsidR="007C787C" w:rsidRPr="00C8625A" w:rsidRDefault="007C787C" w:rsidP="00F71F62">
            <w:pPr>
              <w:pStyle w:val="NoSpacing"/>
              <w:rPr>
                <w:sz w:val="28"/>
                <w:szCs w:val="28"/>
              </w:rPr>
            </w:pPr>
            <w:r w:rsidRPr="00C8625A">
              <w:rPr>
                <w:sz w:val="28"/>
                <w:szCs w:val="28"/>
              </w:rPr>
              <w:t>Signature</w:t>
            </w:r>
          </w:p>
        </w:tc>
      </w:tr>
      <w:tr w:rsidR="007C787C" w:rsidRPr="00C8625A" w14:paraId="0964D8D0" w14:textId="77777777" w:rsidTr="007C787C">
        <w:tc>
          <w:tcPr>
            <w:tcW w:w="5341" w:type="dxa"/>
          </w:tcPr>
          <w:p w14:paraId="4EC055B0" w14:textId="77777777" w:rsidR="007C787C" w:rsidRPr="00C8625A" w:rsidRDefault="007C787C" w:rsidP="00F71F62">
            <w:pPr>
              <w:pStyle w:val="NoSpacing"/>
              <w:rPr>
                <w:sz w:val="28"/>
                <w:szCs w:val="28"/>
              </w:rPr>
            </w:pPr>
          </w:p>
        </w:tc>
        <w:tc>
          <w:tcPr>
            <w:tcW w:w="5341" w:type="dxa"/>
          </w:tcPr>
          <w:p w14:paraId="43A41921" w14:textId="77777777" w:rsidR="007C787C" w:rsidRPr="00C8625A" w:rsidRDefault="007C787C" w:rsidP="00F71F62">
            <w:pPr>
              <w:pStyle w:val="NoSpacing"/>
              <w:rPr>
                <w:sz w:val="28"/>
                <w:szCs w:val="28"/>
              </w:rPr>
            </w:pPr>
          </w:p>
        </w:tc>
      </w:tr>
      <w:tr w:rsidR="007C787C" w:rsidRPr="00C8625A" w14:paraId="32A1BA32" w14:textId="77777777" w:rsidTr="007C787C">
        <w:tc>
          <w:tcPr>
            <w:tcW w:w="5341" w:type="dxa"/>
          </w:tcPr>
          <w:p w14:paraId="7CDE6486" w14:textId="77777777" w:rsidR="007C787C" w:rsidRPr="00C8625A" w:rsidRDefault="007C787C" w:rsidP="00F71F62">
            <w:pPr>
              <w:pStyle w:val="NoSpacing"/>
              <w:rPr>
                <w:sz w:val="28"/>
                <w:szCs w:val="28"/>
              </w:rPr>
            </w:pPr>
          </w:p>
        </w:tc>
        <w:tc>
          <w:tcPr>
            <w:tcW w:w="5341" w:type="dxa"/>
          </w:tcPr>
          <w:p w14:paraId="7AC35506" w14:textId="77777777" w:rsidR="007C787C" w:rsidRPr="00C8625A" w:rsidRDefault="007C787C" w:rsidP="00F71F62">
            <w:pPr>
              <w:pStyle w:val="NoSpacing"/>
              <w:rPr>
                <w:sz w:val="28"/>
                <w:szCs w:val="28"/>
              </w:rPr>
            </w:pPr>
          </w:p>
        </w:tc>
      </w:tr>
      <w:tr w:rsidR="007C787C" w:rsidRPr="00C8625A" w14:paraId="4EAFF6B8" w14:textId="77777777" w:rsidTr="007C787C">
        <w:tc>
          <w:tcPr>
            <w:tcW w:w="5341" w:type="dxa"/>
          </w:tcPr>
          <w:p w14:paraId="0170E31D" w14:textId="77777777" w:rsidR="007C787C" w:rsidRPr="00C8625A" w:rsidRDefault="007C787C" w:rsidP="00F71F62">
            <w:pPr>
              <w:pStyle w:val="NoSpacing"/>
              <w:rPr>
                <w:sz w:val="28"/>
                <w:szCs w:val="28"/>
              </w:rPr>
            </w:pPr>
          </w:p>
        </w:tc>
        <w:tc>
          <w:tcPr>
            <w:tcW w:w="5341" w:type="dxa"/>
          </w:tcPr>
          <w:p w14:paraId="62C585EE" w14:textId="77777777" w:rsidR="007C787C" w:rsidRPr="00C8625A" w:rsidRDefault="007C787C" w:rsidP="00F71F62">
            <w:pPr>
              <w:pStyle w:val="NoSpacing"/>
              <w:rPr>
                <w:sz w:val="28"/>
                <w:szCs w:val="28"/>
              </w:rPr>
            </w:pPr>
          </w:p>
        </w:tc>
      </w:tr>
      <w:tr w:rsidR="007C787C" w:rsidRPr="00C8625A" w14:paraId="4FC091CF" w14:textId="77777777" w:rsidTr="007C787C">
        <w:tc>
          <w:tcPr>
            <w:tcW w:w="5341" w:type="dxa"/>
          </w:tcPr>
          <w:p w14:paraId="4F98CE6E" w14:textId="77777777" w:rsidR="007C787C" w:rsidRPr="00C8625A" w:rsidRDefault="007C787C" w:rsidP="00F71F62">
            <w:pPr>
              <w:pStyle w:val="NoSpacing"/>
              <w:rPr>
                <w:sz w:val="28"/>
                <w:szCs w:val="28"/>
              </w:rPr>
            </w:pPr>
          </w:p>
        </w:tc>
        <w:tc>
          <w:tcPr>
            <w:tcW w:w="5341" w:type="dxa"/>
          </w:tcPr>
          <w:p w14:paraId="343426C8" w14:textId="77777777" w:rsidR="007C787C" w:rsidRPr="00C8625A" w:rsidRDefault="007C787C" w:rsidP="00F71F62">
            <w:pPr>
              <w:pStyle w:val="NoSpacing"/>
              <w:rPr>
                <w:sz w:val="28"/>
                <w:szCs w:val="28"/>
              </w:rPr>
            </w:pPr>
          </w:p>
        </w:tc>
      </w:tr>
      <w:tr w:rsidR="007C787C" w:rsidRPr="00C8625A" w14:paraId="18932E57" w14:textId="77777777" w:rsidTr="007C787C">
        <w:tc>
          <w:tcPr>
            <w:tcW w:w="5341" w:type="dxa"/>
          </w:tcPr>
          <w:p w14:paraId="29A69328" w14:textId="77777777" w:rsidR="007C787C" w:rsidRPr="00C8625A" w:rsidRDefault="007C787C" w:rsidP="00F71F62">
            <w:pPr>
              <w:pStyle w:val="NoSpacing"/>
              <w:rPr>
                <w:sz w:val="28"/>
                <w:szCs w:val="28"/>
              </w:rPr>
            </w:pPr>
          </w:p>
        </w:tc>
        <w:tc>
          <w:tcPr>
            <w:tcW w:w="5341" w:type="dxa"/>
          </w:tcPr>
          <w:p w14:paraId="76684104" w14:textId="77777777" w:rsidR="007C787C" w:rsidRPr="00C8625A" w:rsidRDefault="007C787C" w:rsidP="00F71F62">
            <w:pPr>
              <w:pStyle w:val="NoSpacing"/>
              <w:rPr>
                <w:sz w:val="28"/>
                <w:szCs w:val="28"/>
              </w:rPr>
            </w:pPr>
          </w:p>
        </w:tc>
      </w:tr>
      <w:tr w:rsidR="007C787C" w:rsidRPr="00C8625A" w14:paraId="5221C660" w14:textId="77777777" w:rsidTr="007C787C">
        <w:tc>
          <w:tcPr>
            <w:tcW w:w="5341" w:type="dxa"/>
          </w:tcPr>
          <w:p w14:paraId="61658B0E" w14:textId="77777777" w:rsidR="007C787C" w:rsidRPr="00C8625A" w:rsidRDefault="007C787C" w:rsidP="00F71F62">
            <w:pPr>
              <w:pStyle w:val="NoSpacing"/>
              <w:rPr>
                <w:sz w:val="28"/>
                <w:szCs w:val="28"/>
              </w:rPr>
            </w:pPr>
          </w:p>
        </w:tc>
        <w:tc>
          <w:tcPr>
            <w:tcW w:w="5341" w:type="dxa"/>
          </w:tcPr>
          <w:p w14:paraId="0F9494EB" w14:textId="77777777" w:rsidR="007C787C" w:rsidRPr="00C8625A" w:rsidRDefault="007C787C" w:rsidP="00F71F62">
            <w:pPr>
              <w:pStyle w:val="NoSpacing"/>
              <w:rPr>
                <w:sz w:val="28"/>
                <w:szCs w:val="28"/>
              </w:rPr>
            </w:pPr>
          </w:p>
        </w:tc>
      </w:tr>
      <w:tr w:rsidR="007C787C" w:rsidRPr="00C8625A" w14:paraId="15E48D96" w14:textId="77777777" w:rsidTr="007C787C">
        <w:tc>
          <w:tcPr>
            <w:tcW w:w="5341" w:type="dxa"/>
          </w:tcPr>
          <w:p w14:paraId="74C423E5" w14:textId="77777777" w:rsidR="007C787C" w:rsidRPr="00C8625A" w:rsidRDefault="007C787C" w:rsidP="00F71F62">
            <w:pPr>
              <w:pStyle w:val="NoSpacing"/>
              <w:rPr>
                <w:sz w:val="28"/>
                <w:szCs w:val="28"/>
              </w:rPr>
            </w:pPr>
          </w:p>
        </w:tc>
        <w:tc>
          <w:tcPr>
            <w:tcW w:w="5341" w:type="dxa"/>
          </w:tcPr>
          <w:p w14:paraId="23A1EBEC" w14:textId="77777777" w:rsidR="007C787C" w:rsidRPr="00C8625A" w:rsidRDefault="007C787C" w:rsidP="00F71F62">
            <w:pPr>
              <w:pStyle w:val="NoSpacing"/>
              <w:rPr>
                <w:sz w:val="28"/>
                <w:szCs w:val="28"/>
              </w:rPr>
            </w:pPr>
          </w:p>
        </w:tc>
      </w:tr>
      <w:tr w:rsidR="007C787C" w:rsidRPr="00C8625A" w14:paraId="4CAA6C37" w14:textId="77777777" w:rsidTr="007C787C">
        <w:tc>
          <w:tcPr>
            <w:tcW w:w="5341" w:type="dxa"/>
          </w:tcPr>
          <w:p w14:paraId="7C186697" w14:textId="77777777" w:rsidR="007C787C" w:rsidRPr="00C8625A" w:rsidRDefault="007C787C" w:rsidP="00F71F62">
            <w:pPr>
              <w:pStyle w:val="NoSpacing"/>
              <w:rPr>
                <w:sz w:val="28"/>
                <w:szCs w:val="28"/>
              </w:rPr>
            </w:pPr>
          </w:p>
        </w:tc>
        <w:tc>
          <w:tcPr>
            <w:tcW w:w="5341" w:type="dxa"/>
          </w:tcPr>
          <w:p w14:paraId="4F24AA69" w14:textId="77777777" w:rsidR="007C787C" w:rsidRPr="00C8625A" w:rsidRDefault="007C787C" w:rsidP="00F71F62">
            <w:pPr>
              <w:pStyle w:val="NoSpacing"/>
              <w:rPr>
                <w:sz w:val="28"/>
                <w:szCs w:val="28"/>
              </w:rPr>
            </w:pPr>
          </w:p>
        </w:tc>
      </w:tr>
      <w:tr w:rsidR="007C787C" w:rsidRPr="00C8625A" w14:paraId="396E6A45" w14:textId="77777777" w:rsidTr="007C787C">
        <w:tc>
          <w:tcPr>
            <w:tcW w:w="5341" w:type="dxa"/>
          </w:tcPr>
          <w:p w14:paraId="41064D4D" w14:textId="77777777" w:rsidR="007C787C" w:rsidRPr="00C8625A" w:rsidRDefault="007C787C" w:rsidP="00F71F62">
            <w:pPr>
              <w:pStyle w:val="NoSpacing"/>
              <w:rPr>
                <w:sz w:val="28"/>
                <w:szCs w:val="28"/>
              </w:rPr>
            </w:pPr>
          </w:p>
        </w:tc>
        <w:tc>
          <w:tcPr>
            <w:tcW w:w="5341" w:type="dxa"/>
          </w:tcPr>
          <w:p w14:paraId="29D05C37" w14:textId="77777777" w:rsidR="007C787C" w:rsidRPr="00C8625A" w:rsidRDefault="007C787C" w:rsidP="00F71F62">
            <w:pPr>
              <w:pStyle w:val="NoSpacing"/>
              <w:rPr>
                <w:sz w:val="28"/>
                <w:szCs w:val="28"/>
              </w:rPr>
            </w:pPr>
          </w:p>
        </w:tc>
      </w:tr>
      <w:tr w:rsidR="007C787C" w:rsidRPr="00C8625A" w14:paraId="65C1098E" w14:textId="77777777" w:rsidTr="007C787C">
        <w:tc>
          <w:tcPr>
            <w:tcW w:w="5341" w:type="dxa"/>
          </w:tcPr>
          <w:p w14:paraId="5BEFAD0F" w14:textId="77777777" w:rsidR="007C787C" w:rsidRPr="00C8625A" w:rsidRDefault="007C787C" w:rsidP="00F71F62">
            <w:pPr>
              <w:pStyle w:val="NoSpacing"/>
              <w:rPr>
                <w:sz w:val="28"/>
                <w:szCs w:val="28"/>
              </w:rPr>
            </w:pPr>
          </w:p>
        </w:tc>
        <w:tc>
          <w:tcPr>
            <w:tcW w:w="5341" w:type="dxa"/>
          </w:tcPr>
          <w:p w14:paraId="14CF0A0B" w14:textId="77777777" w:rsidR="007C787C" w:rsidRPr="00C8625A" w:rsidRDefault="007C787C" w:rsidP="00F71F62">
            <w:pPr>
              <w:pStyle w:val="NoSpacing"/>
              <w:rPr>
                <w:sz w:val="28"/>
                <w:szCs w:val="28"/>
              </w:rPr>
            </w:pPr>
          </w:p>
        </w:tc>
      </w:tr>
    </w:tbl>
    <w:p w14:paraId="39988A51" w14:textId="77777777" w:rsidR="007C787C" w:rsidRPr="007C787C" w:rsidRDefault="007C787C" w:rsidP="007C787C">
      <w:pPr>
        <w:pStyle w:val="NoSpacing"/>
        <w:rPr>
          <w:sz w:val="28"/>
          <w:szCs w:val="28"/>
        </w:rPr>
      </w:pPr>
    </w:p>
    <w:sectPr w:rsidR="007C787C" w:rsidRPr="007C787C" w:rsidSect="00C862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4191D" w14:textId="77777777" w:rsidR="00C33992" w:rsidRDefault="00C33992" w:rsidP="006F6550">
      <w:r>
        <w:separator/>
      </w:r>
    </w:p>
  </w:endnote>
  <w:endnote w:type="continuationSeparator" w:id="0">
    <w:p w14:paraId="03DAC784" w14:textId="77777777" w:rsidR="00C33992" w:rsidRDefault="00C33992" w:rsidP="006F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07A9F" w14:textId="77777777" w:rsidR="00C33992" w:rsidRDefault="00C33992" w:rsidP="006F6550">
      <w:r>
        <w:separator/>
      </w:r>
    </w:p>
  </w:footnote>
  <w:footnote w:type="continuationSeparator" w:id="0">
    <w:p w14:paraId="25F06BB5" w14:textId="77777777" w:rsidR="00C33992" w:rsidRDefault="00C33992" w:rsidP="006F6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C4A99"/>
    <w:multiLevelType w:val="hybridMultilevel"/>
    <w:tmpl w:val="0CBCDE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550"/>
    <w:rsid w:val="0019324B"/>
    <w:rsid w:val="00282101"/>
    <w:rsid w:val="004F375C"/>
    <w:rsid w:val="006F6550"/>
    <w:rsid w:val="007C787C"/>
    <w:rsid w:val="009C4665"/>
    <w:rsid w:val="00A325DF"/>
    <w:rsid w:val="00BF63E3"/>
    <w:rsid w:val="00C33992"/>
    <w:rsid w:val="00C8625A"/>
    <w:rsid w:val="00F71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4C7B6"/>
  <w15:docId w15:val="{79098288-B8B3-F340-A5A9-3F6A72B6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F6550"/>
    <w:pPr>
      <w:tabs>
        <w:tab w:val="center" w:pos="4513"/>
        <w:tab w:val="right" w:pos="9026"/>
      </w:tabs>
    </w:pPr>
  </w:style>
  <w:style w:type="character" w:customStyle="1" w:styleId="HeaderChar">
    <w:name w:val="Header Char"/>
    <w:basedOn w:val="DefaultParagraphFont"/>
    <w:link w:val="Header"/>
    <w:rsid w:val="006F6550"/>
    <w:rPr>
      <w:sz w:val="24"/>
      <w:szCs w:val="24"/>
    </w:rPr>
  </w:style>
  <w:style w:type="paragraph" w:styleId="Footer">
    <w:name w:val="footer"/>
    <w:basedOn w:val="Normal"/>
    <w:link w:val="FooterChar"/>
    <w:rsid w:val="006F6550"/>
    <w:pPr>
      <w:tabs>
        <w:tab w:val="center" w:pos="4513"/>
        <w:tab w:val="right" w:pos="9026"/>
      </w:tabs>
    </w:pPr>
  </w:style>
  <w:style w:type="character" w:customStyle="1" w:styleId="FooterChar">
    <w:name w:val="Footer Char"/>
    <w:basedOn w:val="DefaultParagraphFont"/>
    <w:link w:val="Footer"/>
    <w:rsid w:val="006F6550"/>
    <w:rPr>
      <w:sz w:val="24"/>
      <w:szCs w:val="24"/>
    </w:rPr>
  </w:style>
  <w:style w:type="paragraph" w:styleId="BalloonText">
    <w:name w:val="Balloon Text"/>
    <w:basedOn w:val="Normal"/>
    <w:link w:val="BalloonTextChar"/>
    <w:rsid w:val="006F6550"/>
    <w:rPr>
      <w:rFonts w:ascii="Tahoma" w:hAnsi="Tahoma" w:cs="Tahoma"/>
      <w:sz w:val="16"/>
      <w:szCs w:val="16"/>
    </w:rPr>
  </w:style>
  <w:style w:type="character" w:customStyle="1" w:styleId="BalloonTextChar">
    <w:name w:val="Balloon Text Char"/>
    <w:basedOn w:val="DefaultParagraphFont"/>
    <w:link w:val="BalloonText"/>
    <w:rsid w:val="006F6550"/>
    <w:rPr>
      <w:rFonts w:ascii="Tahoma" w:hAnsi="Tahoma" w:cs="Tahoma"/>
      <w:sz w:val="16"/>
      <w:szCs w:val="16"/>
    </w:rPr>
  </w:style>
  <w:style w:type="paragraph" w:styleId="NoSpacing">
    <w:name w:val="No Spacing"/>
    <w:uiPriority w:val="1"/>
    <w:qFormat/>
    <w:rsid w:val="00F71F6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268</Words>
  <Characters>1162</Characters>
  <Application>Microsoft Office Word</Application>
  <DocSecurity>0</DocSecurity>
  <Lines>35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Kylee</dc:creator>
  <cp:lastModifiedBy>Kaleigh Martin</cp:lastModifiedBy>
  <cp:revision>4</cp:revision>
  <dcterms:created xsi:type="dcterms:W3CDTF">2015-03-15T05:20:00Z</dcterms:created>
  <dcterms:modified xsi:type="dcterms:W3CDTF">2020-08-16T10:07:00Z</dcterms:modified>
</cp:coreProperties>
</file>