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4244C" w14:textId="1BDE1F2E" w:rsidR="00BB661A" w:rsidRDefault="00BB661A" w:rsidP="00BB661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35EEE38" wp14:editId="31D0B39A">
            <wp:extent cx="9715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neit FC 20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E5AE" w14:textId="465A8F9C" w:rsidR="00BB661A" w:rsidRDefault="00BB661A" w:rsidP="00BB661A">
      <w:pPr>
        <w:jc w:val="center"/>
        <w:rPr>
          <w:sz w:val="32"/>
          <w:szCs w:val="32"/>
        </w:rPr>
      </w:pPr>
      <w:r w:rsidRPr="00BB661A">
        <w:rPr>
          <w:sz w:val="32"/>
          <w:szCs w:val="32"/>
        </w:rPr>
        <w:t>SAFE TRANSPORT POLICY</w:t>
      </w:r>
    </w:p>
    <w:p w14:paraId="3C23D977" w14:textId="77777777" w:rsidR="00BB661A" w:rsidRPr="00BB661A" w:rsidRDefault="00BB661A" w:rsidP="00BB661A">
      <w:pPr>
        <w:jc w:val="center"/>
        <w:rPr>
          <w:sz w:val="32"/>
          <w:szCs w:val="32"/>
        </w:rPr>
      </w:pPr>
    </w:p>
    <w:p w14:paraId="2EED4F3A" w14:textId="77777777" w:rsidR="00BB661A" w:rsidRPr="00BB661A" w:rsidRDefault="00BB661A">
      <w:pPr>
        <w:rPr>
          <w:sz w:val="24"/>
          <w:szCs w:val="24"/>
        </w:rPr>
      </w:pPr>
      <w:r>
        <w:t xml:space="preserve"> </w:t>
      </w:r>
      <w:r w:rsidRPr="00BB661A">
        <w:rPr>
          <w:sz w:val="24"/>
          <w:szCs w:val="24"/>
        </w:rPr>
        <w:t>The Tarneit Football Club (TFC)</w:t>
      </w:r>
      <w:r w:rsidRPr="00BB661A">
        <w:rPr>
          <w:sz w:val="24"/>
          <w:szCs w:val="24"/>
        </w:rPr>
        <w:t xml:space="preserve"> is committed to providing and maintaining a safe and healthy environment for all and strengthening the good reputation of Australian rules football, the WRFL football competition and the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FC. This Safe Transport Policy has been developed to meet the requirements outlined by the Australian Drug Foundation – through their ‘Good Sports’ program and has been approved by the </w:t>
      </w:r>
      <w:r w:rsidRPr="00BB661A">
        <w:rPr>
          <w:sz w:val="24"/>
          <w:szCs w:val="24"/>
        </w:rPr>
        <w:t>TFC</w:t>
      </w:r>
      <w:r w:rsidRPr="00BB661A">
        <w:rPr>
          <w:sz w:val="24"/>
          <w:szCs w:val="24"/>
        </w:rPr>
        <w:t xml:space="preserve"> Board. The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 recognises that drink driving is illegal and hazardous to both the driver/passenger(s) and the wider community in general. As the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 is a provider of alcohol under a liquor licence, we acknowledge our duty of care to all patrons of the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 facilities with regards to minimising the potential for drink driving. All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 Board Directors, Committee Members, Administrative Officials, Coaches, Support Staff, Volunteers, Members, Players and Spectators will maintain the following standards whilst undertaking approved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 activities, attending any approved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 xml:space="preserve">FC functions or participating in and/or watching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>FC games by adhering to the following:</w:t>
      </w:r>
    </w:p>
    <w:p w14:paraId="6209A401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Displaying this policy prominently within the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>FC facilities and bar.</w:t>
      </w:r>
    </w:p>
    <w:p w14:paraId="3717D1BE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Only serving alcohol according to the legal requirements of the current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>FC Liquor Licence.</w:t>
      </w:r>
    </w:p>
    <w:p w14:paraId="5F6B8954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Only serving standard drink measures and displaying posters about Standard Drink measures at the bar so patrons can readily determine their blood alcohol concentration level</w:t>
      </w:r>
    </w:p>
    <w:p w14:paraId="43D5EFD7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>. • Encouraging patrons to make alternate safe transport arrangements if they are considered to exceed or believe to have a .05 blood alcohol concentration level (or .00 if a probationary driver)</w:t>
      </w:r>
    </w:p>
    <w:p w14:paraId="2DB629CA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. • Encouraging the use of the ‘designated driver’ </w:t>
      </w:r>
      <w:proofErr w:type="gramStart"/>
      <w:r w:rsidRPr="00BB661A">
        <w:rPr>
          <w:sz w:val="24"/>
          <w:szCs w:val="24"/>
        </w:rPr>
        <w:t>concept .</w:t>
      </w:r>
      <w:proofErr w:type="gramEnd"/>
      <w:r w:rsidRPr="00BB661A">
        <w:rPr>
          <w:sz w:val="24"/>
          <w:szCs w:val="24"/>
        </w:rPr>
        <w:t xml:space="preserve"> • Allowing free use of the telephone to arrange a taxi or alternate transport.</w:t>
      </w:r>
    </w:p>
    <w:p w14:paraId="5620CD57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Providing contact telephone numbers for taxi services (and ensuring they are clearly displayed).</w:t>
      </w:r>
    </w:p>
    <w:p w14:paraId="14967B7F" w14:textId="1C3018B4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Arranging transport (e.g. mini-bus) to and from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>FC events or functions external to our facilities when available.</w:t>
      </w:r>
    </w:p>
    <w:p w14:paraId="3337BCA6" w14:textId="686F20BF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Pre-ordering taxis to arrive at the conclusion of </w:t>
      </w:r>
      <w:r w:rsidRPr="00BB661A">
        <w:rPr>
          <w:sz w:val="24"/>
          <w:szCs w:val="24"/>
        </w:rPr>
        <w:t>T</w:t>
      </w:r>
      <w:r w:rsidRPr="00BB661A">
        <w:rPr>
          <w:sz w:val="24"/>
          <w:szCs w:val="24"/>
        </w:rPr>
        <w:t>FC events or functions held at our facilities.</w:t>
      </w:r>
    </w:p>
    <w:p w14:paraId="2FA7257F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• Providing taxi vouchers as part of selected raffle prizes and player awards.</w:t>
      </w:r>
    </w:p>
    <w:p w14:paraId="5FFA97E8" w14:textId="77777777" w:rsid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lastRenderedPageBreak/>
        <w:t xml:space="preserve"> • Promoting this policy regularly by including in newsletters, websites and printed communications. </w:t>
      </w:r>
    </w:p>
    <w:p w14:paraId="6E767EDF" w14:textId="5406B692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• Participating in the Good Sports program and maintaining our Level 3 accreditation. Serious, multiple or continual breaches of this policy may involve attendance by the relevant parties at an internal hearing convened by the </w:t>
      </w:r>
      <w:r>
        <w:rPr>
          <w:sz w:val="24"/>
          <w:szCs w:val="24"/>
        </w:rPr>
        <w:t>T</w:t>
      </w:r>
      <w:r w:rsidRPr="00BB661A">
        <w:rPr>
          <w:sz w:val="24"/>
          <w:szCs w:val="24"/>
        </w:rPr>
        <w:t>FC Board where evidence and reports may be sought and judgments delivered which may include; a written warning, suspension, deregistration, membership cancellation or referral to relevant authorities.</w:t>
      </w:r>
    </w:p>
    <w:p w14:paraId="10F5D2F2" w14:textId="41AA3B3F" w:rsidR="00BB661A" w:rsidRPr="00BB661A" w:rsidRDefault="00BB661A">
      <w:pPr>
        <w:rPr>
          <w:sz w:val="24"/>
          <w:szCs w:val="24"/>
        </w:rPr>
      </w:pPr>
      <w:bookmarkStart w:id="0" w:name="_GoBack"/>
      <w:bookmarkEnd w:id="0"/>
    </w:p>
    <w:p w14:paraId="5CE95808" w14:textId="77777777" w:rsidR="00BB661A" w:rsidRPr="00BB661A" w:rsidRDefault="00BB661A">
      <w:pPr>
        <w:rPr>
          <w:sz w:val="24"/>
          <w:szCs w:val="24"/>
        </w:rPr>
      </w:pPr>
      <w:r w:rsidRPr="00BB661A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2896"/>
        <w:gridCol w:w="2132"/>
        <w:gridCol w:w="2132"/>
      </w:tblGrid>
      <w:tr w:rsidR="00BB661A" w:rsidRPr="00BB661A" w14:paraId="177C4175" w14:textId="77777777" w:rsidTr="00502FC2">
        <w:tc>
          <w:tcPr>
            <w:tcW w:w="1368" w:type="dxa"/>
          </w:tcPr>
          <w:p w14:paraId="7EE31693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Issue Date</w:t>
            </w:r>
          </w:p>
        </w:tc>
        <w:tc>
          <w:tcPr>
            <w:tcW w:w="2896" w:type="dxa"/>
          </w:tcPr>
          <w:p w14:paraId="68E60647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Originator</w:t>
            </w:r>
          </w:p>
        </w:tc>
        <w:tc>
          <w:tcPr>
            <w:tcW w:w="2132" w:type="dxa"/>
          </w:tcPr>
          <w:p w14:paraId="5B8BBBD1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Approver</w:t>
            </w:r>
          </w:p>
        </w:tc>
        <w:tc>
          <w:tcPr>
            <w:tcW w:w="2132" w:type="dxa"/>
          </w:tcPr>
          <w:p w14:paraId="1AB11B97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Review Date</w:t>
            </w:r>
          </w:p>
        </w:tc>
      </w:tr>
      <w:tr w:rsidR="00BB661A" w:rsidRPr="00BB661A" w14:paraId="0E962717" w14:textId="77777777" w:rsidTr="00502FC2">
        <w:tc>
          <w:tcPr>
            <w:tcW w:w="1368" w:type="dxa"/>
          </w:tcPr>
          <w:p w14:paraId="14E7D191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01 Sep 15</w:t>
            </w:r>
          </w:p>
        </w:tc>
        <w:tc>
          <w:tcPr>
            <w:tcW w:w="2896" w:type="dxa"/>
          </w:tcPr>
          <w:p w14:paraId="1C5F53A9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Phil Brown</w:t>
            </w:r>
          </w:p>
        </w:tc>
        <w:tc>
          <w:tcPr>
            <w:tcW w:w="2132" w:type="dxa"/>
          </w:tcPr>
          <w:p w14:paraId="101945C7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Sue Thornton</w:t>
            </w:r>
          </w:p>
        </w:tc>
        <w:tc>
          <w:tcPr>
            <w:tcW w:w="2132" w:type="dxa"/>
          </w:tcPr>
          <w:p w14:paraId="34968C6E" w14:textId="77777777" w:rsidR="00BB661A" w:rsidRPr="00BB661A" w:rsidRDefault="00BB661A" w:rsidP="00BB661A">
            <w:pPr>
              <w:rPr>
                <w:rFonts w:ascii="Arial" w:hAnsi="Arial" w:cs="Arial"/>
                <w:sz w:val="24"/>
                <w:szCs w:val="24"/>
              </w:rPr>
            </w:pPr>
            <w:r w:rsidRPr="00BB661A">
              <w:rPr>
                <w:rFonts w:ascii="Arial" w:hAnsi="Arial" w:cs="Arial"/>
                <w:sz w:val="24"/>
                <w:szCs w:val="24"/>
              </w:rPr>
              <w:t>01 Sep 16</w:t>
            </w:r>
          </w:p>
        </w:tc>
      </w:tr>
    </w:tbl>
    <w:p w14:paraId="3AAFB59B" w14:textId="2D778300" w:rsidR="00BB661A" w:rsidRPr="00BB661A" w:rsidRDefault="00BB661A">
      <w:pPr>
        <w:rPr>
          <w:sz w:val="24"/>
          <w:szCs w:val="24"/>
        </w:rPr>
      </w:pPr>
    </w:p>
    <w:sectPr w:rsidR="00BB661A" w:rsidRPr="00BB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1A"/>
    <w:rsid w:val="00B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5FF0"/>
  <w15:chartTrackingRefBased/>
  <w15:docId w15:val="{2F708428-0449-4F9D-9D0C-CD9203BC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6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Thornton</dc:creator>
  <cp:keywords/>
  <dc:description/>
  <cp:lastModifiedBy>Sue Thornton</cp:lastModifiedBy>
  <cp:revision>1</cp:revision>
  <dcterms:created xsi:type="dcterms:W3CDTF">2019-04-28T20:35:00Z</dcterms:created>
  <dcterms:modified xsi:type="dcterms:W3CDTF">2019-04-28T20:45:00Z</dcterms:modified>
</cp:coreProperties>
</file>