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7F" w:rsidRPr="00B22FA4" w:rsidRDefault="002A0048" w:rsidP="00FF0993">
      <w:pPr>
        <w:pStyle w:val="Title"/>
      </w:pPr>
      <w:r w:rsidRPr="002A0048">
        <w:rPr>
          <w:color w:val="548DD4" w:themeColor="text2" w:themeTint="99"/>
        </w:rPr>
        <w:t xml:space="preserve">MEREWETHER UNITED FOOTBALL CLUB </w:t>
      </w:r>
      <w:r w:rsidR="00602A88">
        <w:t>gRADING pOLICY 2019</w:t>
      </w:r>
    </w:p>
    <w:p w:rsidR="003B68E9" w:rsidRPr="009D1722" w:rsidRDefault="00B22FA4" w:rsidP="005E3610">
      <w:pPr>
        <w:pStyle w:val="Heading1"/>
        <w:rPr>
          <w:rFonts w:cs="Arial"/>
        </w:rPr>
      </w:pPr>
      <w:r>
        <w:rPr>
          <w:rFonts w:cs="Arial"/>
        </w:rPr>
        <w:t>Our commitment</w:t>
      </w:r>
    </w:p>
    <w:p w:rsidR="00602A88" w:rsidRPr="00602A88" w:rsidRDefault="00602A88" w:rsidP="00602A88">
      <w:pPr>
        <w:pStyle w:val="Bullets"/>
        <w:numPr>
          <w:ilvl w:val="0"/>
          <w:numId w:val="0"/>
        </w:numPr>
        <w:rPr>
          <w:lang w:val="en-US"/>
        </w:rPr>
      </w:pPr>
      <w:r w:rsidRPr="00602A88">
        <w:rPr>
          <w:lang w:val="en-US"/>
        </w:rPr>
        <w:t>The Newcastle Football competition constitut</w:t>
      </w:r>
      <w:r>
        <w:rPr>
          <w:lang w:val="en-US"/>
        </w:rPr>
        <w:t>es a competitive competition which</w:t>
      </w:r>
      <w:r w:rsidRPr="00602A88">
        <w:rPr>
          <w:lang w:val="en-US"/>
        </w:rPr>
        <w:t xml:space="preserve"> is structured by age</w:t>
      </w:r>
      <w:r>
        <w:rPr>
          <w:lang w:val="en-US"/>
        </w:rPr>
        <w:t xml:space="preserve"> </w:t>
      </w:r>
      <w:r w:rsidRPr="00602A88">
        <w:rPr>
          <w:lang w:val="en-US"/>
        </w:rPr>
        <w:t>group and division. The structure is designed to:</w:t>
      </w:r>
    </w:p>
    <w:p w:rsidR="00602A88" w:rsidRPr="00602A88" w:rsidRDefault="00602A88" w:rsidP="00602A88">
      <w:pPr>
        <w:pStyle w:val="Bullets"/>
        <w:rPr>
          <w:lang w:val="en-US"/>
        </w:rPr>
      </w:pPr>
      <w:r w:rsidRPr="00602A88">
        <w:rPr>
          <w:lang w:val="en-US"/>
        </w:rPr>
        <w:t>provide all players with appropriate levels of competition;</w:t>
      </w:r>
    </w:p>
    <w:p w:rsidR="00602A88" w:rsidRPr="00DB6488" w:rsidRDefault="00602A88" w:rsidP="00602A88">
      <w:pPr>
        <w:pStyle w:val="Bullets"/>
        <w:rPr>
          <w:lang w:val="en-US"/>
        </w:rPr>
      </w:pPr>
      <w:proofErr w:type="gramStart"/>
      <w:r w:rsidRPr="00DB6488">
        <w:rPr>
          <w:lang w:val="en-US"/>
        </w:rPr>
        <w:t>try</w:t>
      </w:r>
      <w:proofErr w:type="gramEnd"/>
      <w:r w:rsidRPr="00DB6488">
        <w:rPr>
          <w:lang w:val="en-US"/>
        </w:rPr>
        <w:t xml:space="preserve"> and ensure that all players participate principally for fun and fitness and in a division appropriate to the skill level so that they can compete on equal terms; and at the same time provide a competition for players who wish to take their participation in</w:t>
      </w:r>
      <w:r w:rsidR="00DB6488" w:rsidRPr="00DB6488">
        <w:rPr>
          <w:lang w:val="en-US"/>
        </w:rPr>
        <w:t xml:space="preserve"> </w:t>
      </w:r>
      <w:r w:rsidRPr="00DB6488">
        <w:rPr>
          <w:lang w:val="en-US"/>
        </w:rPr>
        <w:t>football to a more competitive level.</w:t>
      </w:r>
    </w:p>
    <w:p w:rsidR="00602A88" w:rsidRPr="00DB6488" w:rsidRDefault="00602A88" w:rsidP="00DB6488">
      <w:pPr>
        <w:pStyle w:val="Bullets"/>
        <w:numPr>
          <w:ilvl w:val="0"/>
          <w:numId w:val="0"/>
        </w:numPr>
        <w:rPr>
          <w:lang w:val="en-US"/>
        </w:rPr>
      </w:pPr>
      <w:r w:rsidRPr="00DB6488">
        <w:rPr>
          <w:lang w:val="en-US"/>
        </w:rPr>
        <w:t xml:space="preserve">Newcastle Football Regulations require the Club to "as far as practicable grade each </w:t>
      </w:r>
      <w:proofErr w:type="gramStart"/>
      <w:r w:rsidRPr="00DB6488">
        <w:rPr>
          <w:lang w:val="en-US"/>
        </w:rPr>
        <w:t>Player according</w:t>
      </w:r>
      <w:proofErr w:type="gramEnd"/>
      <w:r w:rsidR="00DB6488">
        <w:rPr>
          <w:lang w:val="en-US"/>
        </w:rPr>
        <w:t xml:space="preserve"> </w:t>
      </w:r>
      <w:r w:rsidRPr="00DB6488">
        <w:rPr>
          <w:lang w:val="en-US"/>
        </w:rPr>
        <w:t>to his/her ability". The club is duty bound to make every endeavour to ensure that teams are entered</w:t>
      </w:r>
      <w:r w:rsidR="00DB6488">
        <w:rPr>
          <w:lang w:val="en-US"/>
        </w:rPr>
        <w:t xml:space="preserve"> </w:t>
      </w:r>
      <w:r w:rsidRPr="00DB6488">
        <w:rPr>
          <w:lang w:val="en-US"/>
        </w:rPr>
        <w:t>into an appropriate division, having regard to player’s ability. This also allows players the freedom to</w:t>
      </w:r>
      <w:r w:rsidR="00DB6488">
        <w:rPr>
          <w:lang w:val="en-US"/>
        </w:rPr>
        <w:t xml:space="preserve"> </w:t>
      </w:r>
      <w:r w:rsidRPr="00DB6488">
        <w:rPr>
          <w:lang w:val="en-US"/>
        </w:rPr>
        <w:t>develop their skills free from the pressure of trying to meeting expectations that not appropriate to</w:t>
      </w:r>
      <w:r w:rsidR="00DB6488">
        <w:rPr>
          <w:lang w:val="en-US"/>
        </w:rPr>
        <w:t xml:space="preserve"> </w:t>
      </w:r>
      <w:r w:rsidRPr="00DB6488">
        <w:rPr>
          <w:lang w:val="en-US"/>
        </w:rPr>
        <w:t>their skill level.</w:t>
      </w:r>
    </w:p>
    <w:p w:rsidR="00720E0B" w:rsidRPr="00785F22" w:rsidRDefault="00602A88" w:rsidP="00720E0B">
      <w:pPr>
        <w:pStyle w:val="Heading1"/>
        <w:rPr>
          <w:lang w:val="en-US"/>
        </w:rPr>
      </w:pPr>
      <w:r>
        <w:rPr>
          <w:lang w:val="en-US"/>
        </w:rPr>
        <w:t xml:space="preserve">Who will be </w:t>
      </w:r>
      <w:proofErr w:type="gramStart"/>
      <w:r>
        <w:rPr>
          <w:lang w:val="en-US"/>
        </w:rPr>
        <w:t>Graded</w:t>
      </w:r>
      <w:proofErr w:type="gramEnd"/>
      <w:r>
        <w:rPr>
          <w:lang w:val="en-US"/>
        </w:rPr>
        <w:t>?</w:t>
      </w:r>
    </w:p>
    <w:p w:rsidR="00602A88" w:rsidRDefault="00602A88" w:rsidP="00602A88">
      <w:pPr>
        <w:pStyle w:val="Bullets"/>
        <w:rPr>
          <w:lang w:val="en-US"/>
        </w:rPr>
      </w:pPr>
      <w:r w:rsidRPr="00602A88">
        <w:rPr>
          <w:lang w:val="en-US"/>
        </w:rPr>
        <w:t xml:space="preserve">The grading process applies to all players in the Under 12’s to Seniors participating in the Newcastle Football competitions for Merewether United Football Club </w:t>
      </w:r>
    </w:p>
    <w:p w:rsidR="00602A88" w:rsidRPr="00602A88" w:rsidRDefault="00602A88" w:rsidP="00602A88">
      <w:pPr>
        <w:pStyle w:val="Bullets"/>
        <w:rPr>
          <w:lang w:val="en-US"/>
        </w:rPr>
      </w:pPr>
      <w:r w:rsidRPr="00602A88">
        <w:rPr>
          <w:lang w:val="en-US"/>
        </w:rPr>
        <w:t>All players must be graded in order to ensure that the division that a player competes in is not detrimental to that player’s development and enjoyment of football.</w:t>
      </w:r>
    </w:p>
    <w:p w:rsidR="00720E0B" w:rsidRPr="00602A88" w:rsidRDefault="00602A88" w:rsidP="00602A88">
      <w:pPr>
        <w:pStyle w:val="Bullets"/>
        <w:rPr>
          <w:lang w:val="en-US"/>
        </w:rPr>
      </w:pPr>
      <w:r w:rsidRPr="00602A88">
        <w:rPr>
          <w:lang w:val="en-US"/>
        </w:rPr>
        <w:t>Players grading may change from year to year depending on changes to number in an age group and the addition of newer players and increase/ decrease player numbers</w:t>
      </w:r>
      <w:r w:rsidR="00720E0B" w:rsidRPr="00602A88">
        <w:rPr>
          <w:lang w:val="en-US"/>
        </w:rPr>
        <w:t>.</w:t>
      </w:r>
    </w:p>
    <w:p w:rsidR="003B69ED" w:rsidRPr="0051567C" w:rsidRDefault="003B69ED" w:rsidP="00602A88">
      <w:pPr>
        <w:pStyle w:val="Bullets"/>
        <w:numPr>
          <w:ilvl w:val="0"/>
          <w:numId w:val="0"/>
        </w:numPr>
        <w:ind w:left="717"/>
        <w:rPr>
          <w:lang w:val="en-US"/>
        </w:rPr>
      </w:pPr>
    </w:p>
    <w:p w:rsidR="00720E0B" w:rsidRDefault="00602A88" w:rsidP="00720E0B">
      <w:pPr>
        <w:pStyle w:val="Heading1"/>
        <w:rPr>
          <w:lang w:val="en-US"/>
        </w:rPr>
      </w:pPr>
      <w:r>
        <w:rPr>
          <w:lang w:val="en-US"/>
        </w:rPr>
        <w:t>Purpose</w:t>
      </w:r>
    </w:p>
    <w:p w:rsidR="00602A88" w:rsidRPr="00602A88" w:rsidRDefault="00602A88" w:rsidP="00602A88">
      <w:pPr>
        <w:pStyle w:val="Bullets"/>
        <w:rPr>
          <w:lang w:val="en-US"/>
        </w:rPr>
      </w:pPr>
      <w:r w:rsidRPr="00602A88">
        <w:rPr>
          <w:lang w:val="en-US"/>
        </w:rPr>
        <w:t>provide a consistent approach to placement of players into teams;</w:t>
      </w:r>
    </w:p>
    <w:p w:rsidR="00DB6488" w:rsidRDefault="00602A88" w:rsidP="00602A88">
      <w:pPr>
        <w:pStyle w:val="Bullets"/>
        <w:rPr>
          <w:lang w:val="en-US"/>
        </w:rPr>
      </w:pPr>
      <w:proofErr w:type="gramStart"/>
      <w:r w:rsidRPr="00602A88">
        <w:rPr>
          <w:lang w:val="en-US"/>
        </w:rPr>
        <w:t>place</w:t>
      </w:r>
      <w:proofErr w:type="gramEnd"/>
      <w:r w:rsidRPr="00602A88">
        <w:rPr>
          <w:lang w:val="en-US"/>
        </w:rPr>
        <w:t xml:space="preserve"> players in a team consistent with their skill level.</w:t>
      </w:r>
    </w:p>
    <w:p w:rsidR="00602A88" w:rsidRPr="00602A88" w:rsidRDefault="00DB6488" w:rsidP="00DB6488">
      <w:pPr>
        <w:spacing w:before="0" w:after="0"/>
        <w:rPr>
          <w:lang w:val="en-US"/>
        </w:rPr>
      </w:pPr>
      <w:r>
        <w:rPr>
          <w:lang w:val="en-US"/>
        </w:rPr>
        <w:br w:type="page"/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lastRenderedPageBreak/>
        <w:t>Method</w:t>
      </w:r>
    </w:p>
    <w:p w:rsidR="00DB6488" w:rsidRDefault="00DB6488" w:rsidP="00DB6488">
      <w:pPr>
        <w:pStyle w:val="Bullets"/>
        <w:numPr>
          <w:ilvl w:val="0"/>
          <w:numId w:val="0"/>
        </w:numPr>
      </w:pPr>
      <w:r>
        <w:t>Player grading includes consideration of:</w:t>
      </w:r>
    </w:p>
    <w:p w:rsidR="00DB6488" w:rsidRDefault="00DB6488" w:rsidP="00DB6488">
      <w:pPr>
        <w:pStyle w:val="Bullets"/>
      </w:pPr>
      <w:r>
        <w:t>Previous coaching assessment</w:t>
      </w:r>
    </w:p>
    <w:p w:rsidR="00DB6488" w:rsidRDefault="00DB6488" w:rsidP="00DB6488">
      <w:pPr>
        <w:pStyle w:val="Bullets"/>
      </w:pPr>
      <w:r>
        <w:t>Skills Assessment</w:t>
      </w:r>
    </w:p>
    <w:p w:rsidR="00DB6488" w:rsidRDefault="00DB6488" w:rsidP="00DB6488">
      <w:pPr>
        <w:pStyle w:val="Bullets"/>
      </w:pPr>
      <w:r>
        <w:t>Game play.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t>Previous coaching assessment</w:t>
      </w:r>
    </w:p>
    <w:p w:rsidR="00DB6488" w:rsidRDefault="00DB6488" w:rsidP="00DB6488">
      <w:pPr>
        <w:pStyle w:val="Bullets"/>
        <w:numPr>
          <w:ilvl w:val="0"/>
          <w:numId w:val="0"/>
        </w:numPr>
      </w:pPr>
      <w:r>
        <w:t>Where available, this involves evaluation forms to be filled out by the coach from the previous season to ascertain</w:t>
      </w:r>
    </w:p>
    <w:p w:rsidR="00DB6488" w:rsidRDefault="00DB6488" w:rsidP="00DB6488">
      <w:pPr>
        <w:pStyle w:val="Bullets"/>
      </w:pPr>
      <w:r>
        <w:t>Skill</w:t>
      </w:r>
    </w:p>
    <w:p w:rsidR="00DB6488" w:rsidRDefault="00DB6488" w:rsidP="00DB6488">
      <w:pPr>
        <w:pStyle w:val="Bullets"/>
      </w:pPr>
      <w:r>
        <w:t>Speed</w:t>
      </w:r>
    </w:p>
    <w:p w:rsidR="00DB6488" w:rsidRDefault="00DB6488" w:rsidP="00DB6488">
      <w:pPr>
        <w:pStyle w:val="Bullets"/>
      </w:pPr>
      <w:r>
        <w:t>Attitude to training</w:t>
      </w:r>
    </w:p>
    <w:p w:rsidR="00DB6488" w:rsidRDefault="00DB6488" w:rsidP="00DB6488">
      <w:pPr>
        <w:pStyle w:val="Bullets"/>
      </w:pPr>
      <w:r>
        <w:t>Team sense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t>Skills Assessment</w:t>
      </w:r>
    </w:p>
    <w:p w:rsidR="00DB6488" w:rsidRDefault="00DB6488" w:rsidP="00DB6488">
      <w:pPr>
        <w:pStyle w:val="Bullets"/>
        <w:numPr>
          <w:ilvl w:val="0"/>
          <w:numId w:val="0"/>
        </w:numPr>
      </w:pPr>
      <w:r>
        <w:t>This consists of assessment of a number of skill areas including:</w:t>
      </w:r>
    </w:p>
    <w:p w:rsidR="00DB6488" w:rsidRDefault="00DB6488" w:rsidP="00DB6488">
      <w:pPr>
        <w:pStyle w:val="Bullets"/>
      </w:pPr>
      <w:r>
        <w:t>Dribbling;</w:t>
      </w:r>
    </w:p>
    <w:p w:rsidR="00DB6488" w:rsidRDefault="00DB6488" w:rsidP="00DB6488">
      <w:pPr>
        <w:pStyle w:val="Bullets"/>
      </w:pPr>
      <w:r>
        <w:t>Tackling;</w:t>
      </w:r>
    </w:p>
    <w:p w:rsidR="00DB6488" w:rsidRDefault="00DB6488" w:rsidP="00DB6488">
      <w:pPr>
        <w:pStyle w:val="Bullets"/>
      </w:pPr>
      <w:r>
        <w:t>Passing and control;</w:t>
      </w:r>
    </w:p>
    <w:p w:rsidR="00DB6488" w:rsidRDefault="00DB6488" w:rsidP="00DB6488">
      <w:pPr>
        <w:pStyle w:val="Bullets"/>
      </w:pPr>
      <w:r>
        <w:t>Shooting; and</w:t>
      </w:r>
    </w:p>
    <w:p w:rsidR="00DB6488" w:rsidRDefault="00DB6488" w:rsidP="00DB6488">
      <w:pPr>
        <w:pStyle w:val="Bullets"/>
      </w:pPr>
      <w:r>
        <w:t>Throw ins and heading;</w:t>
      </w:r>
    </w:p>
    <w:p w:rsidR="00DB6488" w:rsidRDefault="00DB6488" w:rsidP="00DB6488">
      <w:pPr>
        <w:pStyle w:val="Bullets"/>
      </w:pPr>
      <w:r>
        <w:t>Attitude and commitment.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t>Game Play and Positional Assessment</w:t>
      </w:r>
    </w:p>
    <w:p w:rsidR="00DB6488" w:rsidRDefault="00DB6488" w:rsidP="00DB6488">
      <w:pPr>
        <w:pStyle w:val="Bullets"/>
        <w:numPr>
          <w:ilvl w:val="0"/>
          <w:numId w:val="0"/>
        </w:numPr>
      </w:pPr>
      <w:r>
        <w:t>This involves assessment of a number of game and positional abilities including;</w:t>
      </w:r>
    </w:p>
    <w:p w:rsidR="00DB6488" w:rsidRDefault="00DB6488" w:rsidP="00DB6488">
      <w:pPr>
        <w:pStyle w:val="Bullets"/>
      </w:pPr>
      <w:r>
        <w:t>Ability to read the play;</w:t>
      </w:r>
    </w:p>
    <w:p w:rsidR="00DB6488" w:rsidRDefault="00DB6488" w:rsidP="00DB6488">
      <w:pPr>
        <w:pStyle w:val="Bullets"/>
      </w:pPr>
      <w:r>
        <w:t>Positional play;</w:t>
      </w:r>
    </w:p>
    <w:p w:rsidR="00DB6488" w:rsidRDefault="00DB6488" w:rsidP="00DB6488">
      <w:pPr>
        <w:pStyle w:val="Bullets"/>
      </w:pPr>
      <w:r>
        <w:t>Team play; and</w:t>
      </w:r>
    </w:p>
    <w:p w:rsidR="00DB6488" w:rsidRDefault="00DB6488" w:rsidP="00DB6488">
      <w:pPr>
        <w:pStyle w:val="Bullets"/>
      </w:pPr>
      <w:r>
        <w:t>Control.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lastRenderedPageBreak/>
        <w:t>Exceptions to the</w:t>
      </w:r>
      <w:r>
        <w:rPr>
          <w:lang w:val="en-US"/>
        </w:rPr>
        <w:t xml:space="preserve"> grading session assessment</w:t>
      </w:r>
    </w:p>
    <w:p w:rsidR="00DB6488" w:rsidRDefault="00DB6488" w:rsidP="00DB6488">
      <w:pPr>
        <w:pStyle w:val="Bullets"/>
        <w:numPr>
          <w:ilvl w:val="1"/>
          <w:numId w:val="15"/>
        </w:numPr>
      </w:pPr>
      <w:proofErr w:type="gramStart"/>
      <w:r>
        <w:t>when</w:t>
      </w:r>
      <w:proofErr w:type="gramEnd"/>
      <w:r>
        <w:t xml:space="preserve"> player’s sign-on after the assessment has been completed. These players may be invited to trial with a team and the player is then assessed by the coaching staff for that age group and a recommendation is made as to the player’s ability; </w:t>
      </w:r>
      <w:r>
        <w:br/>
      </w:r>
      <w:r>
        <w:br/>
        <w:t xml:space="preserve">and </w:t>
      </w:r>
    </w:p>
    <w:p w:rsidR="00DB6488" w:rsidRDefault="00DB6488" w:rsidP="00DB6488">
      <w:pPr>
        <w:pStyle w:val="Bullets"/>
        <w:numPr>
          <w:ilvl w:val="1"/>
          <w:numId w:val="15"/>
        </w:numPr>
      </w:pPr>
      <w:proofErr w:type="gramStart"/>
      <w:r>
        <w:t>the</w:t>
      </w:r>
      <w:proofErr w:type="gramEnd"/>
      <w:r>
        <w:t xml:space="preserve"> position of goal keeper. Players for this position may be assigned different tasks and</w:t>
      </w:r>
      <w:r w:rsidR="004B38BB">
        <w:t xml:space="preserve"> </w:t>
      </w:r>
      <w:r>
        <w:t>assessed separately from the other players.</w:t>
      </w:r>
    </w:p>
    <w:p w:rsidR="00DB6488" w:rsidRDefault="00DB6488" w:rsidP="00DB6488">
      <w:pPr>
        <w:pStyle w:val="Bullets"/>
      </w:pPr>
      <w:r>
        <w:t>Detailed documentation of grading results will not necessarily be kept and the Club is not obliged to</w:t>
      </w:r>
      <w:r w:rsidR="004B38BB">
        <w:t xml:space="preserve"> </w:t>
      </w:r>
      <w:r>
        <w:t>make any such information publicly available.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t>Graders</w:t>
      </w:r>
    </w:p>
    <w:p w:rsidR="00DB6488" w:rsidRDefault="00DB6488" w:rsidP="00DB6488">
      <w:pPr>
        <w:pStyle w:val="Bullets"/>
      </w:pPr>
      <w:r>
        <w:t>The Age Group Registrar will coordinate the grading and appoint a grading panel for each age group.</w:t>
      </w:r>
    </w:p>
    <w:p w:rsidR="00DB6488" w:rsidRDefault="00DB6488" w:rsidP="00DB6488">
      <w:pPr>
        <w:pStyle w:val="Bullets"/>
      </w:pPr>
      <w:r>
        <w:t>Where ever possible a grading panel will be formed consisting of three independent and suitably knowledgeable people</w:t>
      </w:r>
      <w:r w:rsidR="004B38BB">
        <w:t xml:space="preserve"> (i.e. excludes parents of children in the age group being graded)</w:t>
      </w:r>
      <w:r>
        <w:t>.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t>Failure to Attend Grading Assessment</w:t>
      </w:r>
    </w:p>
    <w:p w:rsidR="00DB6488" w:rsidRDefault="00DB6488" w:rsidP="00DB6488">
      <w:pPr>
        <w:pStyle w:val="Bullets"/>
      </w:pPr>
      <w:r>
        <w:t>Players that are unable to be assessed at the session time will be assigned a grading at the discretion</w:t>
      </w:r>
      <w:r w:rsidR="004B38BB">
        <w:t xml:space="preserve"> </w:t>
      </w:r>
      <w:r>
        <w:t>of the Club Registrar and coaching co-ordinator.</w:t>
      </w:r>
    </w:p>
    <w:p w:rsidR="00DB6488" w:rsidRPr="00DB6488" w:rsidRDefault="00DB6488" w:rsidP="00DB6488">
      <w:pPr>
        <w:pStyle w:val="Heading1"/>
        <w:rPr>
          <w:lang w:val="en-US"/>
        </w:rPr>
      </w:pPr>
      <w:r w:rsidRPr="00DB6488">
        <w:rPr>
          <w:lang w:val="en-US"/>
        </w:rPr>
        <w:t>Assessment Appeal</w:t>
      </w:r>
    </w:p>
    <w:p w:rsidR="00DB6488" w:rsidRDefault="00DB6488" w:rsidP="00DB6488">
      <w:pPr>
        <w:pStyle w:val="Bullets"/>
      </w:pPr>
      <w:r>
        <w:t>Refer to the Club's Registration Policy for information on appeals.</w:t>
      </w:r>
    </w:p>
    <w:p w:rsidR="00602A88" w:rsidRPr="00602A88" w:rsidRDefault="00602A88" w:rsidP="00602A88">
      <w:pPr>
        <w:rPr>
          <w:lang w:val="en-US"/>
        </w:rPr>
      </w:pPr>
    </w:p>
    <w:p w:rsidR="00720E0B" w:rsidRPr="000A3A55" w:rsidRDefault="00720E0B" w:rsidP="00720E0B">
      <w:pPr>
        <w:pStyle w:val="Heading1"/>
        <w:rPr>
          <w:lang w:val="en-US"/>
        </w:rPr>
      </w:pPr>
      <w:r w:rsidRPr="000A3A55">
        <w:rPr>
          <w:lang w:val="en-US"/>
        </w:rPr>
        <w:t>Non-Compliance</w:t>
      </w:r>
    </w:p>
    <w:p w:rsidR="003B69ED" w:rsidRPr="000A3A55" w:rsidRDefault="00720E0B" w:rsidP="003B69ED">
      <w:pPr>
        <w:rPr>
          <w:lang w:val="en-US"/>
        </w:rPr>
      </w:pPr>
      <w:r w:rsidRPr="000A3A55">
        <w:rPr>
          <w:lang w:val="en-US"/>
        </w:rPr>
        <w:t xml:space="preserve">Parents or others found to have behaved inappropriately, </w:t>
      </w:r>
      <w:r w:rsidRPr="000A3A55">
        <w:rPr>
          <w:spacing w:val="-1"/>
          <w:lang w:val="en-US"/>
        </w:rPr>
        <w:t xml:space="preserve">and who are associate members or have agreed </w:t>
      </w:r>
      <w:r>
        <w:rPr>
          <w:lang w:val="en-US"/>
        </w:rPr>
        <w:t>to abide by our club's C</w:t>
      </w:r>
      <w:r w:rsidRPr="000A3A55">
        <w:rPr>
          <w:lang w:val="en-US"/>
        </w:rPr>
        <w:t xml:space="preserve">ode of </w:t>
      </w:r>
      <w:r>
        <w:rPr>
          <w:lang w:val="en-US"/>
        </w:rPr>
        <w:t>Behaviour</w:t>
      </w:r>
      <w:r w:rsidRPr="000A3A55">
        <w:rPr>
          <w:lang w:val="en-US"/>
        </w:rPr>
        <w:t xml:space="preserve"> and this </w:t>
      </w:r>
      <w:r w:rsidRPr="000A3A55">
        <w:rPr>
          <w:spacing w:val="-1"/>
          <w:lang w:val="en-US"/>
        </w:rPr>
        <w:t xml:space="preserve">policy, may face disciplinary action as outlined in </w:t>
      </w:r>
      <w:r w:rsidRPr="000A3A55">
        <w:rPr>
          <w:lang w:val="en-US"/>
        </w:rPr>
        <w:t>our Member Protection Policy.</w:t>
      </w:r>
    </w:p>
    <w:sectPr w:rsidR="003B69ED" w:rsidRPr="000A3A55" w:rsidSect="002A0C80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60" w:rsidRDefault="00414460" w:rsidP="000A50F0">
      <w:r>
        <w:separator/>
      </w:r>
    </w:p>
  </w:endnote>
  <w:endnote w:type="continuationSeparator" w:id="0">
    <w:p w:rsidR="00414460" w:rsidRDefault="00414460" w:rsidP="000A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:rsidR="00F241B7" w:rsidRPr="00EF44F1" w:rsidRDefault="008B1240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60" w:rsidRDefault="00414460" w:rsidP="000A50F0">
      <w:r>
        <w:separator/>
      </w:r>
    </w:p>
  </w:footnote>
  <w:footnote w:type="continuationSeparator" w:id="0">
    <w:p w:rsidR="00414460" w:rsidRDefault="00414460" w:rsidP="000A5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4819"/>
      <w:gridCol w:w="4819"/>
    </w:tblGrid>
    <w:tr w:rsidR="00A602B3" w:rsidTr="00A602B3">
      <w:trPr>
        <w:jc w:val="center"/>
      </w:trPr>
      <w:tc>
        <w:tcPr>
          <w:tcW w:w="4819" w:type="dxa"/>
          <w:vAlign w:val="center"/>
        </w:tcPr>
        <w:p w:rsidR="00EA6280" w:rsidRPr="00A602B3" w:rsidRDefault="00EA6280" w:rsidP="00A602B3">
          <w:pPr>
            <w:pStyle w:val="Header"/>
            <w:spacing w:after="0"/>
            <w:jc w:val="center"/>
            <w:rPr>
              <w:i w:val="0"/>
            </w:rPr>
          </w:pPr>
        </w:p>
      </w:tc>
      <w:tc>
        <w:tcPr>
          <w:tcW w:w="4819" w:type="dxa"/>
          <w:vAlign w:val="center"/>
        </w:tcPr>
        <w:p w:rsidR="00EA6280" w:rsidRPr="00A602B3" w:rsidRDefault="001F228A" w:rsidP="00A602B3">
          <w:pPr>
            <w:pStyle w:val="Header"/>
            <w:spacing w:after="0"/>
            <w:jc w:val="center"/>
            <w:rPr>
              <w:b/>
              <w:i w:val="0"/>
              <w:color w:val="7F7F7F" w:themeColor="text1" w:themeTint="80"/>
              <w:sz w:val="24"/>
              <w:szCs w:val="24"/>
            </w:rPr>
          </w:pPr>
          <w:r>
            <w:rPr>
              <w:b/>
              <w:i w:val="0"/>
              <w:noProof/>
              <w:color w:val="7F7F7F" w:themeColor="text1" w:themeTint="80"/>
              <w:sz w:val="24"/>
              <w:szCs w:val="24"/>
              <w:lang w:val="en-AU"/>
            </w:rPr>
            <w:drawing>
              <wp:inline distT="0" distB="0" distL="0" distR="0">
                <wp:extent cx="1266825" cy="1266825"/>
                <wp:effectExtent l="19050" t="0" r="9525" b="0"/>
                <wp:docPr id="2" name="Picture 2" descr="C:\Users\Jenny\Desktop\MUFC\MUFC 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enny\Desktop\MUFC\MUFC 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DCC" w:rsidRDefault="00463D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5"/>
      <w:gridCol w:w="4535"/>
    </w:tblGrid>
    <w:tr w:rsidR="00FF0993" w:rsidRPr="00146C9A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146C9A" w:rsidRDefault="001F228A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  <w:lang w:val="en-AU"/>
            </w:rPr>
            <w:drawing>
              <wp:inline distT="0" distB="0" distL="0" distR="0">
                <wp:extent cx="1438275" cy="1362075"/>
                <wp:effectExtent l="19050" t="0" r="9525" b="0"/>
                <wp:docPr id="1" name="Picture 1" descr="PBTR_logo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TR_logo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8"/>
  </w:num>
  <w:num w:numId="16">
    <w:abstractNumId w:val="5"/>
  </w:num>
  <w:num w:numId="17">
    <w:abstractNumId w:val="9"/>
  </w:num>
  <w:num w:numId="18">
    <w:abstractNumId w:val="3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6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E2FC1"/>
    <w:rsid w:val="0000064A"/>
    <w:rsid w:val="00001F3B"/>
    <w:rsid w:val="0000770D"/>
    <w:rsid w:val="0001614C"/>
    <w:rsid w:val="00075DB3"/>
    <w:rsid w:val="000872B4"/>
    <w:rsid w:val="000A50F0"/>
    <w:rsid w:val="000F68F3"/>
    <w:rsid w:val="000F743A"/>
    <w:rsid w:val="0012032C"/>
    <w:rsid w:val="00146C9A"/>
    <w:rsid w:val="00193CE5"/>
    <w:rsid w:val="001A2187"/>
    <w:rsid w:val="001A3132"/>
    <w:rsid w:val="001B4AC9"/>
    <w:rsid w:val="001C0523"/>
    <w:rsid w:val="001C2CCE"/>
    <w:rsid w:val="001C7F03"/>
    <w:rsid w:val="001F228A"/>
    <w:rsid w:val="00213899"/>
    <w:rsid w:val="00264DDA"/>
    <w:rsid w:val="00281424"/>
    <w:rsid w:val="002A0048"/>
    <w:rsid w:val="002A0C80"/>
    <w:rsid w:val="002A798B"/>
    <w:rsid w:val="003B68E9"/>
    <w:rsid w:val="003B69ED"/>
    <w:rsid w:val="003C2A6C"/>
    <w:rsid w:val="00406154"/>
    <w:rsid w:val="00414460"/>
    <w:rsid w:val="00420150"/>
    <w:rsid w:val="00442D73"/>
    <w:rsid w:val="004448B3"/>
    <w:rsid w:val="00444CF0"/>
    <w:rsid w:val="00463DCC"/>
    <w:rsid w:val="004B38BB"/>
    <w:rsid w:val="004C57C7"/>
    <w:rsid w:val="004E5C6F"/>
    <w:rsid w:val="0051567C"/>
    <w:rsid w:val="00557573"/>
    <w:rsid w:val="005E3221"/>
    <w:rsid w:val="005E3610"/>
    <w:rsid w:val="00601EAD"/>
    <w:rsid w:val="00602A88"/>
    <w:rsid w:val="00623F21"/>
    <w:rsid w:val="006271D9"/>
    <w:rsid w:val="00692152"/>
    <w:rsid w:val="00720E0B"/>
    <w:rsid w:val="00736B0A"/>
    <w:rsid w:val="00774C35"/>
    <w:rsid w:val="00787635"/>
    <w:rsid w:val="007F18C3"/>
    <w:rsid w:val="0082048B"/>
    <w:rsid w:val="008279C9"/>
    <w:rsid w:val="00870AE9"/>
    <w:rsid w:val="008722E6"/>
    <w:rsid w:val="00876AEE"/>
    <w:rsid w:val="00884FD3"/>
    <w:rsid w:val="008B1240"/>
    <w:rsid w:val="008B407A"/>
    <w:rsid w:val="008D2328"/>
    <w:rsid w:val="008E1349"/>
    <w:rsid w:val="008E2FC1"/>
    <w:rsid w:val="00915818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602B3"/>
    <w:rsid w:val="00A73D7B"/>
    <w:rsid w:val="00A82FC5"/>
    <w:rsid w:val="00A83337"/>
    <w:rsid w:val="00B1538F"/>
    <w:rsid w:val="00B22FA4"/>
    <w:rsid w:val="00B66BD3"/>
    <w:rsid w:val="00B77B8D"/>
    <w:rsid w:val="00B912CF"/>
    <w:rsid w:val="00C26F16"/>
    <w:rsid w:val="00C61EC2"/>
    <w:rsid w:val="00C66A6C"/>
    <w:rsid w:val="00CE1E0D"/>
    <w:rsid w:val="00CE60DD"/>
    <w:rsid w:val="00D31437"/>
    <w:rsid w:val="00D473F1"/>
    <w:rsid w:val="00DB43F1"/>
    <w:rsid w:val="00DB6488"/>
    <w:rsid w:val="00DC0EC8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ru v:ext="edit" colors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720E0B"/>
    <w:pPr>
      <w:keepNext/>
      <w:spacing w:before="360" w:after="0"/>
      <w:outlineLvl w:val="1"/>
    </w:pPr>
    <w:rPr>
      <w:rFonts w:ascii="Arial Narrow" w:eastAsia="Times New Roman" w:hAnsi="Arial Narrow"/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PBTR_template.dot</Template>
  <TotalTime>21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3710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creator>Lisa Thompson</dc:creator>
  <cp:lastModifiedBy>Tomago House</cp:lastModifiedBy>
  <cp:revision>3</cp:revision>
  <cp:lastPrinted>2012-04-03T02:37:00Z</cp:lastPrinted>
  <dcterms:created xsi:type="dcterms:W3CDTF">2019-01-02T23:56:00Z</dcterms:created>
  <dcterms:modified xsi:type="dcterms:W3CDTF">2019-01-03T00:19:00Z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