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C3" w:rsidRDefault="00A50EC3" w:rsidP="00BA5F0F">
      <w:pPr>
        <w:spacing w:before="0" w:after="0" w:line="276" w:lineRule="auto"/>
        <w:rPr>
          <w:color w:val="BFBFBF" w:themeColor="background1" w:themeShade="BF"/>
          <w:lang w:val="en-US"/>
        </w:rPr>
      </w:pPr>
    </w:p>
    <w:p w:rsidR="006D385B" w:rsidRDefault="006D385B" w:rsidP="006D385B">
      <w:pPr>
        <w:jc w:val="center"/>
        <w:rPr>
          <w:rFonts w:ascii="Calibri" w:eastAsia="Calibri" w:hAnsi="Calibri" w:cs="Times New Roman"/>
        </w:rPr>
      </w:pPr>
      <w:r>
        <w:rPr>
          <w:rFonts w:ascii="Calibri" w:eastAsia="Calibri" w:hAnsi="Calibri" w:cs="Times New Roman"/>
          <w:noProof/>
          <w:lang w:val="en-GB" w:eastAsia="en-GB"/>
        </w:rPr>
        <w:drawing>
          <wp:inline distT="0" distB="0" distL="0" distR="0" wp14:anchorId="4F2C4A7B" wp14:editId="7132390E">
            <wp:extent cx="701675" cy="605790"/>
            <wp:effectExtent l="0" t="0" r="3175" b="3810"/>
            <wp:docPr id="2" name="Picture 2" descr="Jump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mper Logo.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1675" cy="605790"/>
                    </a:xfrm>
                    <a:prstGeom prst="rect">
                      <a:avLst/>
                    </a:prstGeom>
                    <a:noFill/>
                    <a:ln>
                      <a:noFill/>
                    </a:ln>
                  </pic:spPr>
                </pic:pic>
              </a:graphicData>
            </a:graphic>
          </wp:inline>
        </w:drawing>
      </w:r>
    </w:p>
    <w:p w:rsidR="006D385B" w:rsidRDefault="006D385B" w:rsidP="006D385B">
      <w:pPr>
        <w:jc w:val="center"/>
        <w:rPr>
          <w:rFonts w:ascii="Arial" w:eastAsia="Calibri" w:hAnsi="Arial" w:cs="Arial"/>
          <w:b/>
          <w:bCs/>
          <w:color w:val="595959"/>
          <w:lang w:val="en-US"/>
        </w:rPr>
      </w:pPr>
      <w:r>
        <w:rPr>
          <w:rFonts w:ascii="Arial" w:eastAsia="Calibri" w:hAnsi="Arial" w:cs="Arial"/>
          <w:b/>
          <w:bCs/>
          <w:color w:val="595959"/>
          <w:lang w:val="en-US"/>
        </w:rPr>
        <w:t>St Albans Football Club Geelong</w:t>
      </w:r>
    </w:p>
    <w:p w:rsidR="006D385B" w:rsidRDefault="006D385B" w:rsidP="006D385B">
      <w:pPr>
        <w:jc w:val="center"/>
        <w:rPr>
          <w:rFonts w:ascii="Arial" w:eastAsia="Calibri" w:hAnsi="Arial" w:cs="Arial"/>
          <w:b/>
          <w:bCs/>
          <w:color w:val="595959"/>
          <w:lang w:val="en-US"/>
        </w:rPr>
      </w:pPr>
      <w:r>
        <w:rPr>
          <w:rFonts w:ascii="Arial" w:eastAsia="Calibri" w:hAnsi="Arial" w:cs="Arial"/>
          <w:b/>
          <w:bCs/>
          <w:color w:val="595959"/>
          <w:lang w:val="en-US"/>
        </w:rPr>
        <w:t>Established 1880</w:t>
      </w:r>
    </w:p>
    <w:p w:rsidR="00FD083F" w:rsidRPr="00FD083F" w:rsidRDefault="00085971" w:rsidP="00BE60BD">
      <w:pPr>
        <w:rPr>
          <w:caps/>
          <w:sz w:val="36"/>
          <w:szCs w:val="36"/>
        </w:rPr>
      </w:pPr>
      <w:r>
        <w:rPr>
          <w:caps/>
          <w:sz w:val="36"/>
          <w:szCs w:val="36"/>
        </w:rPr>
        <w:br/>
        <w:t>Club Function Management Policy</w:t>
      </w:r>
    </w:p>
    <w:p w:rsidR="00FD083F" w:rsidRDefault="00FD083F" w:rsidP="00FD083F">
      <w:pPr>
        <w:rPr>
          <w:i/>
          <w:color w:val="009FDA"/>
        </w:rPr>
      </w:pPr>
    </w:p>
    <w:p w:rsidR="00A92675" w:rsidRPr="00085971" w:rsidRDefault="00085971" w:rsidP="00A92675">
      <w:pPr>
        <w:spacing w:before="0" w:line="276" w:lineRule="auto"/>
        <w:rPr>
          <w:b/>
          <w:sz w:val="24"/>
        </w:rPr>
      </w:pPr>
      <w:r w:rsidRPr="00085971">
        <w:rPr>
          <w:b/>
          <w:sz w:val="24"/>
        </w:rPr>
        <w:t>Alcohol Inclusive Functions</w:t>
      </w:r>
    </w:p>
    <w:p w:rsidR="00085971" w:rsidRPr="00085971" w:rsidRDefault="00085971" w:rsidP="00A92675">
      <w:pPr>
        <w:spacing w:before="0" w:line="276" w:lineRule="auto"/>
      </w:pPr>
      <w:r w:rsidRPr="00085971">
        <w:t>(</w:t>
      </w:r>
      <w:proofErr w:type="gramStart"/>
      <w:r w:rsidRPr="00085971">
        <w:t>e.g</w:t>
      </w:r>
      <w:proofErr w:type="gramEnd"/>
      <w:r w:rsidRPr="00085971">
        <w:t xml:space="preserve">. presentation nights, dinner dances) </w:t>
      </w:r>
    </w:p>
    <w:p w:rsidR="00085971" w:rsidRPr="00085971" w:rsidRDefault="00085971" w:rsidP="00085971">
      <w:pPr>
        <w:spacing w:before="0" w:after="0" w:line="276" w:lineRule="auto"/>
        <w:rPr>
          <w:rFonts w:asciiTheme="majorHAnsi" w:hAnsiTheme="majorHAnsi"/>
          <w:b/>
          <w:sz w:val="18"/>
        </w:rPr>
      </w:pPr>
    </w:p>
    <w:p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b/>
          <w:szCs w:val="22"/>
        </w:rPr>
        <w:t xml:space="preserve">Introduction </w:t>
      </w:r>
    </w:p>
    <w:p w:rsid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Whilst it is always preferable for members to purchase their own drinks across the bar as this practice reduces high risk drinking and allows bar servers to monitor patron behaviour</w:t>
      </w:r>
      <w:r w:rsidRPr="00085971">
        <w:rPr>
          <w:rFonts w:asciiTheme="majorHAnsi" w:hAnsiTheme="majorHAnsi"/>
          <w:sz w:val="18"/>
        </w:rPr>
        <w:t xml:space="preserve"> </w:t>
      </w:r>
      <w:r w:rsidRPr="00085971">
        <w:rPr>
          <w:rFonts w:asciiTheme="majorHAnsi" w:hAnsiTheme="majorHAnsi" w:cs="Arial"/>
          <w:szCs w:val="22"/>
        </w:rPr>
        <w:t xml:space="preserve">there are functions where clubs prefer to include alcohol as part of the overall ticket price. To prevent such events being seen by some as ‘all you can drink’ it is important for restrictions on alcohol availability. The following document sets out a number of strategies clubs can implement to limit risky drinking practices thereby protecting members as well as the clubs’ liquor license against significant State based fines. </w:t>
      </w:r>
    </w:p>
    <w:p w:rsidR="00085971" w:rsidRPr="00085971" w:rsidRDefault="00085971" w:rsidP="00085971">
      <w:pPr>
        <w:spacing w:before="0" w:after="0" w:line="276" w:lineRule="auto"/>
        <w:rPr>
          <w:rFonts w:asciiTheme="majorHAnsi" w:hAnsiTheme="majorHAnsi" w:cs="Arial"/>
          <w:szCs w:val="22"/>
        </w:rPr>
      </w:pPr>
    </w:p>
    <w:p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szCs w:val="22"/>
        </w:rPr>
        <w:t xml:space="preserve">This document is designed to be discussed with a clubs’ Good Sports Project Officer at the time of Level 2 and 3 Club Accreditation meetings. In order for the club to progress to the next Level of accreditation or pass a monitoring meeting for existing Level 3 clubs, the club needs to adopt all the below listed required strategies as well as the ability for the club to propose alternative strategies. </w:t>
      </w:r>
      <w:r w:rsidRPr="00085971">
        <w:rPr>
          <w:rFonts w:asciiTheme="majorHAnsi" w:hAnsiTheme="majorHAnsi" w:cs="Arial"/>
          <w:szCs w:val="22"/>
        </w:rPr>
        <w:br/>
      </w:r>
      <w:r w:rsidRPr="00085971">
        <w:rPr>
          <w:rFonts w:asciiTheme="majorHAnsi" w:hAnsiTheme="majorHAnsi" w:cs="Arial"/>
          <w:szCs w:val="22"/>
        </w:rPr>
        <w:br/>
      </w:r>
      <w:r w:rsidR="00474E8D">
        <w:rPr>
          <w:rFonts w:asciiTheme="majorHAnsi" w:hAnsiTheme="majorHAnsi" w:cs="Arial"/>
          <w:b/>
          <w:szCs w:val="22"/>
        </w:rPr>
        <w:t>REQUIRED S</w:t>
      </w:r>
      <w:r w:rsidRPr="00085971">
        <w:rPr>
          <w:rFonts w:asciiTheme="majorHAnsi" w:hAnsiTheme="majorHAnsi" w:cs="Arial"/>
          <w:b/>
          <w:szCs w:val="22"/>
        </w:rPr>
        <w:t xml:space="preserve">trategies (for licensed sporting clubs)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bottom w:w="57" w:type="dxa"/>
        </w:tblCellMar>
        <w:tblLook w:val="01E0" w:firstRow="1" w:lastRow="1" w:firstColumn="1" w:lastColumn="1" w:noHBand="0" w:noVBand="0"/>
      </w:tblPr>
      <w:tblGrid>
        <w:gridCol w:w="392"/>
        <w:gridCol w:w="9639"/>
      </w:tblGrid>
      <w:tr w:rsidR="00085971" w:rsidRPr="00085971" w:rsidTr="00085971">
        <w:tc>
          <w:tcPr>
            <w:tcW w:w="392" w:type="dxa"/>
            <w:shd w:val="clear" w:color="auto" w:fill="auto"/>
          </w:tcPr>
          <w:p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1</w:t>
            </w:r>
          </w:p>
        </w:tc>
        <w:tc>
          <w:tcPr>
            <w:tcW w:w="9639" w:type="dxa"/>
            <w:shd w:val="clear" w:color="auto" w:fill="auto"/>
          </w:tcPr>
          <w:p w:rsidR="00085971" w:rsidRDefault="00085971" w:rsidP="00085971">
            <w:pPr>
              <w:spacing w:before="0" w:line="276" w:lineRule="auto"/>
              <w:ind w:left="180"/>
              <w:rPr>
                <w:rFonts w:asciiTheme="majorHAnsi" w:hAnsiTheme="majorHAnsi" w:cs="Arial"/>
                <w:szCs w:val="22"/>
              </w:rPr>
            </w:pPr>
            <w:r w:rsidRPr="00085971">
              <w:rPr>
                <w:rFonts w:asciiTheme="majorHAnsi" w:hAnsiTheme="majorHAnsi" w:cs="Arial"/>
                <w:szCs w:val="22"/>
              </w:rPr>
              <w:t xml:space="preserve">Limited time of event where alcohol is included within ticket price – no more than 120 minutes, taken in full or broken into separate time blocks. After this time expires drinks purchased at bar prices. </w:t>
            </w:r>
          </w:p>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This time allocation includes recommendation of guideline 2 from the National Health &amp; Medical Research Council 2009, page 51, which states ‘for healthy men and women, drinking no more than</w:t>
            </w:r>
            <w:r w:rsidRPr="00085971">
              <w:rPr>
                <w:rFonts w:asciiTheme="majorHAnsi" w:hAnsiTheme="majorHAnsi" w:cs="Arial"/>
                <w:b/>
                <w:szCs w:val="22"/>
                <w:u w:val="single"/>
              </w:rPr>
              <w:t xml:space="preserve"> 4 standard drinks</w:t>
            </w:r>
            <w:r w:rsidRPr="00085971">
              <w:rPr>
                <w:rFonts w:asciiTheme="majorHAnsi" w:hAnsiTheme="majorHAnsi" w:cs="Arial"/>
                <w:szCs w:val="22"/>
              </w:rPr>
              <w:t xml:space="preserve"> on a single occasion reduces the risk of alcohol-related injury arising from that occasion’</w:t>
            </w:r>
          </w:p>
        </w:tc>
      </w:tr>
      <w:tr w:rsidR="00085971" w:rsidRPr="00085971" w:rsidTr="00085971">
        <w:tc>
          <w:tcPr>
            <w:tcW w:w="392" w:type="dxa"/>
            <w:shd w:val="clear" w:color="auto" w:fill="auto"/>
          </w:tcPr>
          <w:p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2</w:t>
            </w:r>
          </w:p>
        </w:tc>
        <w:tc>
          <w:tcPr>
            <w:tcW w:w="9639" w:type="dxa"/>
            <w:shd w:val="clear" w:color="auto" w:fill="auto"/>
          </w:tcPr>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Drinks only purchased by patrons for their own consumption from the bar where trained RSA bar servers are present</w:t>
            </w:r>
          </w:p>
        </w:tc>
      </w:tr>
      <w:tr w:rsidR="00085971" w:rsidRPr="00085971" w:rsidTr="00085971">
        <w:tc>
          <w:tcPr>
            <w:tcW w:w="392" w:type="dxa"/>
            <w:shd w:val="clear" w:color="auto" w:fill="auto"/>
          </w:tcPr>
          <w:p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3</w:t>
            </w:r>
          </w:p>
        </w:tc>
        <w:tc>
          <w:tcPr>
            <w:tcW w:w="9639" w:type="dxa"/>
            <w:shd w:val="clear" w:color="auto" w:fill="auto"/>
          </w:tcPr>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Availability of substantial food.</w:t>
            </w:r>
          </w:p>
        </w:tc>
      </w:tr>
      <w:tr w:rsidR="00085971" w:rsidRPr="00085971" w:rsidTr="00085971">
        <w:tc>
          <w:tcPr>
            <w:tcW w:w="392" w:type="dxa"/>
            <w:shd w:val="clear" w:color="auto" w:fill="auto"/>
          </w:tcPr>
          <w:p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4</w:t>
            </w:r>
          </w:p>
        </w:tc>
        <w:tc>
          <w:tcPr>
            <w:tcW w:w="9639" w:type="dxa"/>
            <w:shd w:val="clear" w:color="auto" w:fill="auto"/>
          </w:tcPr>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Communication of the function conditions to members.</w:t>
            </w:r>
          </w:p>
        </w:tc>
      </w:tr>
    </w:tbl>
    <w:p w:rsidR="00085971" w:rsidRDefault="00085971" w:rsidP="00085971">
      <w:pPr>
        <w:spacing w:before="0" w:after="0" w:line="276" w:lineRule="auto"/>
        <w:rPr>
          <w:rFonts w:asciiTheme="majorHAnsi" w:hAnsiTheme="majorHAnsi" w:cs="Arial"/>
          <w:b/>
          <w:szCs w:val="22"/>
        </w:rPr>
      </w:pPr>
    </w:p>
    <w:p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b/>
          <w:szCs w:val="22"/>
        </w:rPr>
        <w:t xml:space="preserve">OPTIONAL (recommended) </w:t>
      </w:r>
      <w:r w:rsidR="00474E8D">
        <w:rPr>
          <w:rFonts w:asciiTheme="majorHAnsi" w:hAnsiTheme="majorHAnsi" w:cs="Arial"/>
          <w:b/>
          <w:szCs w:val="22"/>
        </w:rPr>
        <w:t>S</w:t>
      </w:r>
      <w:r w:rsidRPr="00085971">
        <w:rPr>
          <w:rFonts w:asciiTheme="majorHAnsi" w:hAnsiTheme="majorHAnsi" w:cs="Arial"/>
          <w:b/>
          <w:szCs w:val="22"/>
        </w:rPr>
        <w:t xml:space="preserve">trategies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1E0" w:firstRow="1" w:lastRow="1" w:firstColumn="1" w:lastColumn="1" w:noHBand="0" w:noVBand="0"/>
      </w:tblPr>
      <w:tblGrid>
        <w:gridCol w:w="10031"/>
      </w:tblGrid>
      <w:tr w:rsidR="00085971" w:rsidRPr="00085971" w:rsidTr="00085971">
        <w:tc>
          <w:tcPr>
            <w:tcW w:w="10031" w:type="dxa"/>
            <w:shd w:val="clear" w:color="auto" w:fill="auto"/>
          </w:tcPr>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 xml:space="preserve">Periods of time during function where alcohol is not available </w:t>
            </w:r>
            <w:r w:rsidRPr="00085971">
              <w:rPr>
                <w:rFonts w:asciiTheme="majorHAnsi" w:hAnsiTheme="majorHAnsi" w:cs="Arial"/>
                <w:szCs w:val="22"/>
              </w:rPr>
              <w:br/>
              <w:t>(rest period / enter</w:t>
            </w:r>
            <w:r>
              <w:rPr>
                <w:rFonts w:asciiTheme="majorHAnsi" w:hAnsiTheme="majorHAnsi" w:cs="Arial"/>
                <w:szCs w:val="22"/>
              </w:rPr>
              <w:t>tainment provided</w:t>
            </w:r>
          </w:p>
        </w:tc>
      </w:tr>
    </w:tbl>
    <w:p w:rsidR="00085971" w:rsidRDefault="00085971" w:rsidP="00085971">
      <w:pPr>
        <w:spacing w:before="0" w:after="0" w:line="276" w:lineRule="auto"/>
        <w:rPr>
          <w:rFonts w:asciiTheme="majorHAnsi" w:hAnsiTheme="majorHAnsi" w:cs="Arial"/>
          <w:b/>
          <w:szCs w:val="22"/>
        </w:rPr>
      </w:pPr>
    </w:p>
    <w:p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b/>
          <w:szCs w:val="22"/>
        </w:rPr>
        <w:lastRenderedPageBreak/>
        <w:t>OTHER Good Sports approved strategy(s)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CellMar>
          <w:top w:w="57" w:type="dxa"/>
          <w:bottom w:w="57" w:type="dxa"/>
        </w:tblCellMar>
        <w:tblLook w:val="01E0" w:firstRow="1" w:lastRow="1" w:firstColumn="1" w:lastColumn="1" w:noHBand="0" w:noVBand="0"/>
      </w:tblPr>
      <w:tblGrid>
        <w:gridCol w:w="10031"/>
      </w:tblGrid>
      <w:tr w:rsidR="00085971" w:rsidRPr="00085971" w:rsidTr="00085971">
        <w:tc>
          <w:tcPr>
            <w:tcW w:w="10031" w:type="dxa"/>
            <w:shd w:val="clear" w:color="auto" w:fill="auto"/>
          </w:tcPr>
          <w:p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 xml:space="preserve">Periods of time during function where alcohol is not available </w:t>
            </w:r>
            <w:r w:rsidRPr="00085971">
              <w:rPr>
                <w:rFonts w:asciiTheme="majorHAnsi" w:hAnsiTheme="majorHAnsi" w:cs="Arial"/>
                <w:szCs w:val="22"/>
              </w:rPr>
              <w:br/>
              <w:t>(rest period / enter</w:t>
            </w:r>
            <w:r>
              <w:rPr>
                <w:rFonts w:asciiTheme="majorHAnsi" w:hAnsiTheme="majorHAnsi" w:cs="Arial"/>
                <w:szCs w:val="22"/>
              </w:rPr>
              <w:t>tainment provided</w:t>
            </w:r>
          </w:p>
        </w:tc>
      </w:tr>
    </w:tbl>
    <w:p w:rsidR="00085971" w:rsidRDefault="00085971" w:rsidP="00085971">
      <w:pPr>
        <w:spacing w:before="0" w:after="0" w:line="276" w:lineRule="auto"/>
        <w:rPr>
          <w:rFonts w:asciiTheme="majorHAnsi" w:hAnsiTheme="majorHAnsi" w:cs="Arial"/>
          <w:b/>
          <w:szCs w:val="22"/>
        </w:rPr>
      </w:pPr>
    </w:p>
    <w:p w:rsidR="00085971" w:rsidRPr="00085971" w:rsidRDefault="00085971" w:rsidP="00085971">
      <w:pPr>
        <w:spacing w:before="0" w:after="0" w:line="276" w:lineRule="auto"/>
        <w:rPr>
          <w:rFonts w:asciiTheme="majorHAnsi" w:hAnsiTheme="majorHAnsi"/>
          <w:b/>
          <w:sz w:val="18"/>
        </w:rPr>
      </w:pPr>
    </w:p>
    <w:p w:rsidR="00E73FD8" w:rsidRPr="00A92675" w:rsidRDefault="00E73FD8" w:rsidP="00BA5F0F">
      <w:pPr>
        <w:spacing w:before="0" w:line="276" w:lineRule="auto"/>
        <w:rPr>
          <w:b/>
        </w:rPr>
      </w:pPr>
      <w:r w:rsidRPr="00A92675">
        <w:rPr>
          <w:b/>
        </w:rPr>
        <w:t>Policy Review</w:t>
      </w:r>
    </w:p>
    <w:p w:rsidR="00E73FD8" w:rsidRPr="00A92675"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rsidR="00BA5F0F" w:rsidRPr="00D042FE" w:rsidRDefault="00085971" w:rsidP="00085971">
      <w:pPr>
        <w:spacing w:line="276" w:lineRule="auto"/>
        <w:rPr>
          <w:b/>
        </w:rPr>
      </w:pPr>
      <w:r>
        <w:rPr>
          <w:b/>
        </w:rPr>
        <w:t>S</w:t>
      </w:r>
      <w:r w:rsidR="00E73FD8" w:rsidRPr="00D042FE">
        <w:rPr>
          <w:b/>
        </w:rPr>
        <w:t>ignature</w:t>
      </w:r>
    </w:p>
    <w:tbl>
      <w:tblPr>
        <w:tblW w:w="9855" w:type="dxa"/>
        <w:tblLayout w:type="fixed"/>
        <w:tblLook w:val="04A0" w:firstRow="1" w:lastRow="0" w:firstColumn="1" w:lastColumn="0" w:noHBand="0" w:noVBand="1"/>
      </w:tblPr>
      <w:tblGrid>
        <w:gridCol w:w="1102"/>
        <w:gridCol w:w="3826"/>
        <w:gridCol w:w="1135"/>
        <w:gridCol w:w="3792"/>
      </w:tblGrid>
      <w:tr w:rsidR="00BA5F0F" w:rsidTr="00BA5F0F">
        <w:tc>
          <w:tcPr>
            <w:tcW w:w="1102" w:type="dxa"/>
            <w:hideMark/>
          </w:tcPr>
          <w:p w:rsidR="00BA5F0F" w:rsidRDefault="00BA5F0F">
            <w:pPr>
              <w:spacing w:before="0" w:after="0" w:line="276" w:lineRule="auto"/>
            </w:pPr>
            <w:r>
              <w:t xml:space="preserve">Signed: </w:t>
            </w:r>
          </w:p>
        </w:tc>
        <w:tc>
          <w:tcPr>
            <w:tcW w:w="3826" w:type="dxa"/>
            <w:hideMark/>
          </w:tcPr>
          <w:p w:rsidR="00BA5F0F" w:rsidRDefault="00BA5F0F">
            <w:pPr>
              <w:spacing w:before="0" w:after="0" w:line="276" w:lineRule="auto"/>
            </w:pPr>
            <w:r>
              <w:rPr>
                <w:color w:val="808080" w:themeColor="background1" w:themeShade="80"/>
              </w:rPr>
              <w:t>____________________________</w:t>
            </w:r>
          </w:p>
        </w:tc>
        <w:tc>
          <w:tcPr>
            <w:tcW w:w="1135" w:type="dxa"/>
            <w:hideMark/>
          </w:tcPr>
          <w:p w:rsidR="00BA5F0F" w:rsidRDefault="00BA5F0F">
            <w:pPr>
              <w:spacing w:before="0" w:after="0" w:line="276" w:lineRule="auto"/>
            </w:pPr>
            <w:r>
              <w:t xml:space="preserve">Signed: </w:t>
            </w:r>
          </w:p>
        </w:tc>
        <w:tc>
          <w:tcPr>
            <w:tcW w:w="3792" w:type="dxa"/>
            <w:hideMark/>
          </w:tcPr>
          <w:p w:rsidR="00BA5F0F" w:rsidRDefault="00BA5F0F">
            <w:pPr>
              <w:spacing w:before="0" w:after="0" w:line="276" w:lineRule="auto"/>
            </w:pPr>
            <w:r>
              <w:rPr>
                <w:color w:val="808080" w:themeColor="background1" w:themeShade="80"/>
              </w:rPr>
              <w:t>____________________________</w:t>
            </w:r>
          </w:p>
        </w:tc>
      </w:tr>
      <w:tr w:rsidR="00BA5F0F" w:rsidTr="00BA5F0F">
        <w:tc>
          <w:tcPr>
            <w:tcW w:w="1102" w:type="dxa"/>
          </w:tcPr>
          <w:p w:rsidR="00BA5F0F" w:rsidRDefault="00BA5F0F">
            <w:pPr>
              <w:spacing w:before="0" w:line="276" w:lineRule="auto"/>
            </w:pPr>
          </w:p>
        </w:tc>
        <w:tc>
          <w:tcPr>
            <w:tcW w:w="3826" w:type="dxa"/>
            <w:hideMark/>
          </w:tcPr>
          <w:p w:rsidR="00BA5F0F" w:rsidRDefault="00BA5F0F">
            <w:pPr>
              <w:spacing w:before="60" w:line="276" w:lineRule="auto"/>
            </w:pPr>
            <w:r>
              <w:t>Club President</w:t>
            </w:r>
          </w:p>
        </w:tc>
        <w:tc>
          <w:tcPr>
            <w:tcW w:w="1135" w:type="dxa"/>
          </w:tcPr>
          <w:p w:rsidR="00BA5F0F" w:rsidRDefault="00BA5F0F">
            <w:pPr>
              <w:spacing w:before="60" w:line="276" w:lineRule="auto"/>
            </w:pPr>
          </w:p>
        </w:tc>
        <w:tc>
          <w:tcPr>
            <w:tcW w:w="3792" w:type="dxa"/>
            <w:hideMark/>
          </w:tcPr>
          <w:p w:rsidR="00BA5F0F" w:rsidRDefault="00BA5F0F">
            <w:pPr>
              <w:spacing w:before="60" w:line="276" w:lineRule="auto"/>
            </w:pPr>
            <w:r>
              <w:t>Club Secretary</w:t>
            </w:r>
          </w:p>
        </w:tc>
      </w:tr>
      <w:tr w:rsidR="00BA5F0F" w:rsidTr="00BA5F0F">
        <w:tc>
          <w:tcPr>
            <w:tcW w:w="1102" w:type="dxa"/>
            <w:hideMark/>
          </w:tcPr>
          <w:p w:rsidR="00BA5F0F" w:rsidRDefault="00BA5F0F">
            <w:pPr>
              <w:spacing w:before="0" w:after="0" w:line="276" w:lineRule="auto"/>
            </w:pPr>
            <w:r>
              <w:t xml:space="preserve">Date: </w:t>
            </w:r>
          </w:p>
        </w:tc>
        <w:tc>
          <w:tcPr>
            <w:tcW w:w="3826" w:type="dxa"/>
            <w:hideMark/>
          </w:tcPr>
          <w:p w:rsidR="00BA5F0F" w:rsidRDefault="00BA5F0F">
            <w:pPr>
              <w:spacing w:before="0" w:after="0" w:line="276" w:lineRule="auto"/>
            </w:pPr>
            <w:r>
              <w:rPr>
                <w:color w:val="808080" w:themeColor="background1" w:themeShade="80"/>
              </w:rPr>
              <w:t>_______________</w:t>
            </w:r>
          </w:p>
        </w:tc>
        <w:tc>
          <w:tcPr>
            <w:tcW w:w="1135" w:type="dxa"/>
            <w:hideMark/>
          </w:tcPr>
          <w:p w:rsidR="00BA5F0F" w:rsidRDefault="00BA5F0F">
            <w:pPr>
              <w:spacing w:before="0" w:after="0" w:line="276" w:lineRule="auto"/>
            </w:pPr>
            <w:r>
              <w:t xml:space="preserve">Date: </w:t>
            </w:r>
          </w:p>
        </w:tc>
        <w:tc>
          <w:tcPr>
            <w:tcW w:w="3792" w:type="dxa"/>
            <w:hideMark/>
          </w:tcPr>
          <w:p w:rsidR="00BA5F0F" w:rsidRDefault="00BA5F0F">
            <w:pPr>
              <w:spacing w:before="0" w:after="0" w:line="276" w:lineRule="auto"/>
            </w:pPr>
            <w:r>
              <w:rPr>
                <w:color w:val="808080" w:themeColor="background1" w:themeShade="80"/>
              </w:rPr>
              <w:t>_______________</w:t>
            </w:r>
          </w:p>
        </w:tc>
      </w:tr>
    </w:tbl>
    <w:p w:rsidR="00BA5F0F" w:rsidRDefault="00BA5F0F" w:rsidP="00BA5F0F">
      <w:pPr>
        <w:spacing w:before="0" w:after="0" w:line="276" w:lineRule="auto"/>
      </w:pPr>
    </w:p>
    <w:p w:rsidR="00D44700" w:rsidRPr="002C5841" w:rsidRDefault="00BA5F0F" w:rsidP="00FD083F">
      <w:pPr>
        <w:spacing w:before="0" w:after="0" w:line="276" w:lineRule="auto"/>
        <w:rPr>
          <w:lang w:val="en-US"/>
        </w:rPr>
      </w:pPr>
      <w:r>
        <w:t xml:space="preserve">Next policy review date is </w:t>
      </w:r>
      <w:r w:rsidR="00773F53">
        <w:t>01/07/2017.</w:t>
      </w:r>
      <w:bookmarkStart w:id="0" w:name="_GoBack"/>
      <w:bookmarkEnd w:id="0"/>
    </w:p>
    <w:sectPr w:rsidR="00D44700" w:rsidRPr="002C5841" w:rsidSect="00313491">
      <w:headerReference w:type="default" r:id="rId11"/>
      <w:footerReference w:type="default" r:id="rId12"/>
      <w:headerReference w:type="first" r:id="rId13"/>
      <w:pgSz w:w="11906" w:h="16838" w:code="9"/>
      <w:pgMar w:top="566" w:right="851" w:bottom="1418" w:left="1134" w:header="0"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446" w:rsidRDefault="00441446" w:rsidP="00221F4B">
      <w:pPr>
        <w:spacing w:after="0" w:line="240" w:lineRule="auto"/>
      </w:pPr>
      <w:r>
        <w:separator/>
      </w:r>
    </w:p>
  </w:endnote>
  <w:endnote w:type="continuationSeparator" w:id="0">
    <w:p w:rsidR="00441446" w:rsidRDefault="00441446"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214697"/>
      <w:docPartObj>
        <w:docPartGallery w:val="Page Numbers (Bottom of Page)"/>
        <w:docPartUnique/>
      </w:docPartObj>
    </w:sdtPr>
    <w:sdtEndPr>
      <w:rPr>
        <w:noProof/>
      </w:rPr>
    </w:sdtEndPr>
    <w:sdtContent>
      <w:p w:rsidR="006D385B" w:rsidRDefault="006D385B">
        <w:pPr>
          <w:pStyle w:val="Footer"/>
        </w:pPr>
        <w:r>
          <w:fldChar w:fldCharType="begin"/>
        </w:r>
        <w:r>
          <w:instrText xml:space="preserve"> PAGE   \* MERGEFORMAT </w:instrText>
        </w:r>
        <w:r>
          <w:fldChar w:fldCharType="separate"/>
        </w:r>
        <w:r w:rsidR="00773F53">
          <w:rPr>
            <w:noProof/>
          </w:rPr>
          <w:t>2</w:t>
        </w:r>
        <w:r>
          <w:rPr>
            <w:noProof/>
          </w:rPr>
          <w:fldChar w:fldCharType="end"/>
        </w:r>
      </w:p>
    </w:sdtContent>
  </w:sdt>
  <w:p w:rsidR="00085971" w:rsidRPr="00961504" w:rsidRDefault="00085971"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446" w:rsidRDefault="00441446" w:rsidP="00221F4B">
      <w:pPr>
        <w:spacing w:after="0" w:line="240" w:lineRule="auto"/>
      </w:pPr>
      <w:r>
        <w:separator/>
      </w:r>
    </w:p>
  </w:footnote>
  <w:footnote w:type="continuationSeparator" w:id="0">
    <w:p w:rsidR="00441446" w:rsidRDefault="00441446" w:rsidP="00221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71" w:rsidRDefault="00085971">
    <w:pPr>
      <w:pStyle w:val="Header"/>
    </w:pPr>
  </w:p>
  <w:p w:rsidR="00085971" w:rsidRDefault="00085971">
    <w:pPr>
      <w:pStyle w:val="Header"/>
    </w:pPr>
  </w:p>
  <w:p w:rsidR="00085971" w:rsidRDefault="00085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71" w:rsidRPr="00E73FD8" w:rsidRDefault="00085971" w:rsidP="00E73FD8">
    <w:pPr>
      <w:pStyle w:val="Header"/>
      <w:ind w:firstLine="720"/>
      <w:rPr>
        <w:color w:val="BFBFBF" w:themeColor="background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5">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5"/>
  </w:num>
  <w:num w:numId="4">
    <w:abstractNumId w:val="1"/>
  </w:num>
  <w:num w:numId="5">
    <w:abstractNumId w:val="7"/>
  </w:num>
  <w:num w:numId="6">
    <w:abstractNumId w:val="14"/>
  </w:num>
  <w:num w:numId="7">
    <w:abstractNumId w:val="18"/>
  </w:num>
  <w:num w:numId="8">
    <w:abstractNumId w:val="22"/>
  </w:num>
  <w:num w:numId="9">
    <w:abstractNumId w:val="17"/>
  </w:num>
  <w:num w:numId="10">
    <w:abstractNumId w:val="5"/>
  </w:num>
  <w:num w:numId="11">
    <w:abstractNumId w:val="19"/>
  </w:num>
  <w:num w:numId="12">
    <w:abstractNumId w:val="21"/>
  </w:num>
  <w:num w:numId="13">
    <w:abstractNumId w:val="3"/>
  </w:num>
  <w:num w:numId="14">
    <w:abstractNumId w:val="20"/>
  </w:num>
  <w:num w:numId="15">
    <w:abstractNumId w:val="12"/>
  </w:num>
  <w:num w:numId="16">
    <w:abstractNumId w:val="10"/>
  </w:num>
  <w:num w:numId="17">
    <w:abstractNumId w:val="2"/>
  </w:num>
  <w:num w:numId="18">
    <w:abstractNumId w:val="6"/>
  </w:num>
  <w:num w:numId="19">
    <w:abstractNumId w:val="8"/>
  </w:num>
  <w:num w:numId="20">
    <w:abstractNumId w:val="13"/>
  </w:num>
  <w:num w:numId="21">
    <w:abstractNumId w:val="23"/>
  </w:num>
  <w:num w:numId="22">
    <w:abstractNumId w:val="16"/>
  </w:num>
  <w:num w:numId="23">
    <w:abstractNumId w:val="11"/>
  </w:num>
  <w:num w:numId="24">
    <w:abstractNumId w:val="4"/>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9A"/>
    <w:rsid w:val="000460BD"/>
    <w:rsid w:val="00085971"/>
    <w:rsid w:val="00094207"/>
    <w:rsid w:val="000D010E"/>
    <w:rsid w:val="00107A09"/>
    <w:rsid w:val="0011253D"/>
    <w:rsid w:val="00115055"/>
    <w:rsid w:val="001413DB"/>
    <w:rsid w:val="001535A3"/>
    <w:rsid w:val="001A019B"/>
    <w:rsid w:val="001D2CC9"/>
    <w:rsid w:val="00221F4B"/>
    <w:rsid w:val="002249E0"/>
    <w:rsid w:val="00291D4B"/>
    <w:rsid w:val="002C1D34"/>
    <w:rsid w:val="002C5795"/>
    <w:rsid w:val="002C5841"/>
    <w:rsid w:val="00313491"/>
    <w:rsid w:val="00362A2F"/>
    <w:rsid w:val="00382DD2"/>
    <w:rsid w:val="003B0529"/>
    <w:rsid w:val="003F0F0D"/>
    <w:rsid w:val="004017D2"/>
    <w:rsid w:val="00411AAD"/>
    <w:rsid w:val="00441446"/>
    <w:rsid w:val="004415DA"/>
    <w:rsid w:val="00463FC6"/>
    <w:rsid w:val="00474E8D"/>
    <w:rsid w:val="00477DCB"/>
    <w:rsid w:val="00485A4A"/>
    <w:rsid w:val="00486DDB"/>
    <w:rsid w:val="0049513F"/>
    <w:rsid w:val="004954D0"/>
    <w:rsid w:val="0049615E"/>
    <w:rsid w:val="004B6203"/>
    <w:rsid w:val="004D7CAE"/>
    <w:rsid w:val="004F1582"/>
    <w:rsid w:val="00506A9A"/>
    <w:rsid w:val="005115F3"/>
    <w:rsid w:val="00556948"/>
    <w:rsid w:val="00587AA9"/>
    <w:rsid w:val="005B227F"/>
    <w:rsid w:val="005E73BF"/>
    <w:rsid w:val="00603C47"/>
    <w:rsid w:val="00616C64"/>
    <w:rsid w:val="00622F5D"/>
    <w:rsid w:val="006738D1"/>
    <w:rsid w:val="0068320C"/>
    <w:rsid w:val="006D385B"/>
    <w:rsid w:val="006F5865"/>
    <w:rsid w:val="00773F53"/>
    <w:rsid w:val="00787ECB"/>
    <w:rsid w:val="00835B6B"/>
    <w:rsid w:val="008656F6"/>
    <w:rsid w:val="008768DC"/>
    <w:rsid w:val="00895CB9"/>
    <w:rsid w:val="008A4C32"/>
    <w:rsid w:val="008A72D2"/>
    <w:rsid w:val="008C755C"/>
    <w:rsid w:val="00907447"/>
    <w:rsid w:val="00923270"/>
    <w:rsid w:val="00934C3F"/>
    <w:rsid w:val="00961504"/>
    <w:rsid w:val="00976FE6"/>
    <w:rsid w:val="00997BE2"/>
    <w:rsid w:val="009A24EC"/>
    <w:rsid w:val="009E0A31"/>
    <w:rsid w:val="00A50EC3"/>
    <w:rsid w:val="00A92675"/>
    <w:rsid w:val="00A962B7"/>
    <w:rsid w:val="00A97E3B"/>
    <w:rsid w:val="00AA77D2"/>
    <w:rsid w:val="00AB5C5E"/>
    <w:rsid w:val="00B33476"/>
    <w:rsid w:val="00B56F20"/>
    <w:rsid w:val="00BA5F0F"/>
    <w:rsid w:val="00BA7BC7"/>
    <w:rsid w:val="00BC10B0"/>
    <w:rsid w:val="00BD2D6C"/>
    <w:rsid w:val="00BD6E50"/>
    <w:rsid w:val="00BD6F6F"/>
    <w:rsid w:val="00BE60BD"/>
    <w:rsid w:val="00C41B12"/>
    <w:rsid w:val="00C526AF"/>
    <w:rsid w:val="00C6023F"/>
    <w:rsid w:val="00CA4D76"/>
    <w:rsid w:val="00CE336B"/>
    <w:rsid w:val="00CF1C4E"/>
    <w:rsid w:val="00D042FE"/>
    <w:rsid w:val="00D061BF"/>
    <w:rsid w:val="00D30201"/>
    <w:rsid w:val="00D44700"/>
    <w:rsid w:val="00D61AAE"/>
    <w:rsid w:val="00D67714"/>
    <w:rsid w:val="00DF08A0"/>
    <w:rsid w:val="00E04BBC"/>
    <w:rsid w:val="00E40C10"/>
    <w:rsid w:val="00E67A1D"/>
    <w:rsid w:val="00E73FD8"/>
    <w:rsid w:val="00ED4121"/>
    <w:rsid w:val="00F045E9"/>
    <w:rsid w:val="00F15166"/>
    <w:rsid w:val="00F52F4D"/>
    <w:rsid w:val="00F70C62"/>
    <w:rsid w:val="00F76D28"/>
    <w:rsid w:val="00F82F7A"/>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semiHidden="0" w:uiPriority="35" w:unhideWhenUsed="0" w:qFormat="1"/>
    <w:lsdException w:name="page number" w:locked="0"/>
    <w:lsdException w:name="List Number" w:semiHidden="0" w:unhideWhenUsed="0" w:qFormat="1"/>
    <w:lsdException w:name="List Number 2" w:semiHidden="0" w:unhideWhenUsed="0" w:qFormat="1"/>
    <w:lsdException w:name="List Number 3"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13491"/>
    <w:rPr>
      <w:color w:val="88746A" w:themeColor="hyperlink"/>
      <w:u w:val="single"/>
    </w:rPr>
  </w:style>
  <w:style w:type="character" w:styleId="FollowedHyperlink">
    <w:name w:val="FollowedHyperlink"/>
    <w:basedOn w:val="DefaultParagraphFont"/>
    <w:uiPriority w:val="99"/>
    <w:semiHidden/>
    <w:unhideWhenUsed/>
    <w:rsid w:val="00313491"/>
    <w:rPr>
      <w:color w:val="88746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semiHidden="0" w:uiPriority="35" w:unhideWhenUsed="0" w:qFormat="1"/>
    <w:lsdException w:name="page number" w:locked="0"/>
    <w:lsdException w:name="List Number" w:semiHidden="0" w:unhideWhenUsed="0" w:qFormat="1"/>
    <w:lsdException w:name="List Number 2" w:semiHidden="0" w:unhideWhenUsed="0" w:qFormat="1"/>
    <w:lsdException w:name="List Number 3"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Followed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13491"/>
    <w:rPr>
      <w:color w:val="88746A" w:themeColor="hyperlink"/>
      <w:u w:val="single"/>
    </w:rPr>
  </w:style>
  <w:style w:type="character" w:styleId="FollowedHyperlink">
    <w:name w:val="FollowedHyperlink"/>
    <w:basedOn w:val="DefaultParagraphFont"/>
    <w:uiPriority w:val="99"/>
    <w:semiHidden/>
    <w:unhideWhenUsed/>
    <w:rsid w:val="00313491"/>
    <w:rPr>
      <w:color w:val="8874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D1C309.39ABAF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1CAB-6E9C-447B-841E-DA61D0AB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Michael</cp:lastModifiedBy>
  <cp:revision>3</cp:revision>
  <cp:lastPrinted>2014-03-25T21:54:00Z</cp:lastPrinted>
  <dcterms:created xsi:type="dcterms:W3CDTF">2016-06-27T02:24:00Z</dcterms:created>
  <dcterms:modified xsi:type="dcterms:W3CDTF">2016-07-06T06:24:00Z</dcterms:modified>
</cp:coreProperties>
</file>